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95BEE" w14:textId="77777777" w:rsidR="00D375A3" w:rsidRDefault="00000000" w:rsidP="00500575">
      <w:pPr>
        <w:spacing w:after="80"/>
        <w:jc w:val="center"/>
      </w:pPr>
      <w:r>
        <w:rPr>
          <w:b/>
          <w:bCs/>
          <w:sz w:val="32"/>
          <w:szCs w:val="32"/>
        </w:rPr>
        <w:t>ASHLEY GREEN PARISH COUNCIL</w:t>
      </w:r>
    </w:p>
    <w:p w14:paraId="3168A0DD" w14:textId="77777777" w:rsidR="00D375A3" w:rsidRDefault="00000000">
      <w:pPr>
        <w:spacing w:after="80"/>
        <w:jc w:val="center"/>
      </w:pPr>
      <w:r>
        <w:rPr>
          <w:b/>
          <w:bCs/>
          <w:sz w:val="26"/>
          <w:szCs w:val="26"/>
        </w:rPr>
        <w:t>Minutes of Extraordinary General Meeting</w:t>
      </w:r>
    </w:p>
    <w:p w14:paraId="15F00B3D" w14:textId="77777777" w:rsidR="00D375A3" w:rsidRDefault="00000000">
      <w:pPr>
        <w:spacing w:after="320"/>
        <w:jc w:val="center"/>
      </w:pPr>
      <w:r>
        <w:rPr>
          <w:sz w:val="24"/>
          <w:szCs w:val="24"/>
        </w:rPr>
        <w:t>28th May 2026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D375A3" w14:paraId="01D0D15A"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EAF2FB"/>
            <w:tcMar>
              <w:top w:w="80" w:type="dxa"/>
              <w:left w:w="120" w:type="dxa"/>
              <w:bottom w:w="80" w:type="dxa"/>
              <w:right w:w="120" w:type="dxa"/>
            </w:tcMar>
          </w:tcPr>
          <w:p w14:paraId="34EBEB8B" w14:textId="77777777" w:rsidR="00D375A3" w:rsidRDefault="00000000">
            <w:r>
              <w:rPr>
                <w:b/>
                <w:bCs/>
              </w:rPr>
              <w:t>Date &amp; Time</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B7F8CE" w14:textId="77777777" w:rsidR="00D375A3" w:rsidRDefault="00000000">
            <w:r>
              <w:t>Thursday 28th May 2026, commencing 5.30pm</w:t>
            </w:r>
          </w:p>
        </w:tc>
      </w:tr>
      <w:tr w:rsidR="00D375A3" w14:paraId="3A8E5FCF"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EAF2FB"/>
            <w:tcMar>
              <w:top w:w="80" w:type="dxa"/>
              <w:left w:w="120" w:type="dxa"/>
              <w:bottom w:w="80" w:type="dxa"/>
              <w:right w:w="120" w:type="dxa"/>
            </w:tcMar>
          </w:tcPr>
          <w:p w14:paraId="42FC2D5B" w14:textId="77777777" w:rsidR="00D375A3" w:rsidRDefault="00000000">
            <w:r>
              <w:rPr>
                <w:b/>
                <w:bCs/>
              </w:rPr>
              <w:t>Venue</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F64D6B9" w14:textId="77777777" w:rsidR="00D375A3" w:rsidRDefault="00000000">
            <w:r>
              <w:t>The Old School, Ashley Green</w:t>
            </w:r>
          </w:p>
        </w:tc>
      </w:tr>
      <w:tr w:rsidR="00D375A3" w14:paraId="10E3E8C9"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EAF2FB"/>
            <w:tcMar>
              <w:top w:w="80" w:type="dxa"/>
              <w:left w:w="120" w:type="dxa"/>
              <w:bottom w:w="80" w:type="dxa"/>
              <w:right w:w="120" w:type="dxa"/>
            </w:tcMar>
          </w:tcPr>
          <w:p w14:paraId="02FE518F" w14:textId="77777777" w:rsidR="00D375A3" w:rsidRDefault="00000000">
            <w:r>
              <w:rPr>
                <w:b/>
                <w:bCs/>
              </w:rPr>
              <w:t>Chairman</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18B87C1" w14:textId="77777777" w:rsidR="00D375A3" w:rsidRDefault="00000000">
            <w:r>
              <w:t>Councillor Cullingham</w:t>
            </w:r>
          </w:p>
        </w:tc>
      </w:tr>
      <w:tr w:rsidR="00D375A3" w14:paraId="26378D48"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EAF2FB"/>
            <w:tcMar>
              <w:top w:w="80" w:type="dxa"/>
              <w:left w:w="120" w:type="dxa"/>
              <w:bottom w:w="80" w:type="dxa"/>
              <w:right w:w="120" w:type="dxa"/>
            </w:tcMar>
          </w:tcPr>
          <w:p w14:paraId="12662031" w14:textId="77777777" w:rsidR="00D375A3" w:rsidRDefault="00000000">
            <w:r>
              <w:rPr>
                <w:b/>
                <w:bCs/>
              </w:rPr>
              <w:t>Councillors Present</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2EDC1FA" w14:textId="77777777" w:rsidR="00D375A3" w:rsidRDefault="00000000">
            <w:r>
              <w:t>Cullingham (Chairman), Watts, Woodhouse, Colbert and Fidler</w:t>
            </w:r>
          </w:p>
        </w:tc>
      </w:tr>
      <w:tr w:rsidR="00D375A3" w14:paraId="0F4C075D"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EAF2FB"/>
            <w:tcMar>
              <w:top w:w="80" w:type="dxa"/>
              <w:left w:w="120" w:type="dxa"/>
              <w:bottom w:w="80" w:type="dxa"/>
              <w:right w:w="120" w:type="dxa"/>
            </w:tcMar>
          </w:tcPr>
          <w:p w14:paraId="3C33C791" w14:textId="77777777" w:rsidR="00D375A3" w:rsidRDefault="00000000">
            <w:r>
              <w:rPr>
                <w:b/>
                <w:bCs/>
              </w:rPr>
              <w:t>Apologies</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97BD94C" w14:textId="77777777" w:rsidR="00D375A3" w:rsidRDefault="00000000">
            <w:r>
              <w:t xml:space="preserve">The </w:t>
            </w:r>
            <w:proofErr w:type="gramStart"/>
            <w:r>
              <w:t>Clerk;</w:t>
            </w:r>
            <w:proofErr w:type="gramEnd"/>
            <w:r>
              <w:t xml:space="preserve"> Councillor </w:t>
            </w:r>
            <w:proofErr w:type="spellStart"/>
            <w:r>
              <w:t>Broschomb</w:t>
            </w:r>
            <w:proofErr w:type="spellEnd"/>
            <w:r>
              <w:t xml:space="preserve"> (declared interest — unable to vote)</w:t>
            </w:r>
          </w:p>
        </w:tc>
      </w:tr>
      <w:tr w:rsidR="00D375A3" w14:paraId="41BE11E9"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EAF2FB"/>
            <w:tcMar>
              <w:top w:w="80" w:type="dxa"/>
              <w:left w:w="120" w:type="dxa"/>
              <w:bottom w:w="80" w:type="dxa"/>
              <w:right w:w="120" w:type="dxa"/>
            </w:tcMar>
          </w:tcPr>
          <w:p w14:paraId="72C32A96" w14:textId="77777777" w:rsidR="00D375A3" w:rsidRDefault="00000000">
            <w:r>
              <w:rPr>
                <w:b/>
                <w:bCs/>
              </w:rPr>
              <w:t>Purpose</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45B859" w14:textId="77777777" w:rsidR="00D375A3" w:rsidRDefault="00000000">
            <w:r>
              <w:t>To discuss adoption of Neighbourhood Plan documents (NP, GB Study, Design Annex, Consultation Statement and Summary of Responses)</w:t>
            </w:r>
          </w:p>
        </w:tc>
      </w:tr>
    </w:tbl>
    <w:p w14:paraId="33C200D8" w14:textId="77777777" w:rsidR="00D375A3" w:rsidRDefault="00D375A3">
      <w:pPr>
        <w:spacing w:after="240"/>
      </w:pPr>
    </w:p>
    <w:p w14:paraId="34A73935" w14:textId="77777777" w:rsidR="00D375A3" w:rsidRDefault="00000000">
      <w:pPr>
        <w:pBdr>
          <w:bottom w:val="single" w:sz="4" w:space="1" w:color="2E75B6"/>
        </w:pBdr>
        <w:spacing w:before="240" w:after="120"/>
      </w:pPr>
      <w:r>
        <w:rPr>
          <w:b/>
          <w:bCs/>
          <w:sz w:val="26"/>
          <w:szCs w:val="26"/>
        </w:rPr>
        <w:t>1.  Chairman's Introduction and Apologies for Absence</w:t>
      </w:r>
    </w:p>
    <w:p w14:paraId="0E4A7ED3" w14:textId="77777777" w:rsidR="00D375A3" w:rsidRDefault="00000000">
      <w:pPr>
        <w:spacing w:before="60" w:after="60"/>
      </w:pPr>
      <w:r>
        <w:t xml:space="preserve">Apologies were received from the Clerk and from Councillor </w:t>
      </w:r>
      <w:proofErr w:type="spellStart"/>
      <w:r>
        <w:t>Broschomb</w:t>
      </w:r>
      <w:proofErr w:type="spellEnd"/>
      <w:r>
        <w:t>, who has a declared interest in the matter and is therefore unable to vote.</w:t>
      </w:r>
    </w:p>
    <w:p w14:paraId="5AF00C96" w14:textId="77777777" w:rsidR="00D375A3" w:rsidRDefault="00000000">
      <w:pPr>
        <w:spacing w:before="60" w:after="60"/>
      </w:pPr>
      <w:r>
        <w:t xml:space="preserve">Prior to the meeting, Councillor Fidler had circulated an email containing questions and queries relating to the Neighbourhood Plan documents. Councillor Watts, as Chair of the Steering Group, subsequently provided written responses. This exchange was noted and is to be appended to these minutes. The exchange had dealt with </w:t>
      </w:r>
      <w:proofErr w:type="gramStart"/>
      <w:r>
        <w:t>a number of</w:t>
      </w:r>
      <w:proofErr w:type="gramEnd"/>
      <w:r>
        <w:t xml:space="preserve"> the issues raised.</w:t>
      </w:r>
    </w:p>
    <w:p w14:paraId="461FCF94" w14:textId="77777777" w:rsidR="00D375A3" w:rsidRDefault="00D375A3">
      <w:pPr>
        <w:spacing w:after="120"/>
      </w:pPr>
    </w:p>
    <w:p w14:paraId="4D6B289F" w14:textId="77777777" w:rsidR="00D375A3" w:rsidRDefault="00000000">
      <w:pPr>
        <w:pBdr>
          <w:bottom w:val="single" w:sz="4" w:space="1" w:color="2E75B6"/>
        </w:pBdr>
        <w:spacing w:before="240" w:after="120"/>
      </w:pPr>
      <w:r>
        <w:rPr>
          <w:b/>
          <w:bCs/>
          <w:sz w:val="26"/>
          <w:szCs w:val="26"/>
        </w:rPr>
        <w:t>2.  Matters Arising — Neighbourhood Plan Documents</w:t>
      </w:r>
    </w:p>
    <w:p w14:paraId="23023D05" w14:textId="77777777" w:rsidR="00D375A3" w:rsidRDefault="00000000">
      <w:pPr>
        <w:spacing w:before="200" w:after="80"/>
      </w:pPr>
      <w:r>
        <w:rPr>
          <w:b/>
          <w:bCs/>
          <w:sz w:val="24"/>
          <w:szCs w:val="24"/>
        </w:rPr>
        <w:t>Ownership of Documents</w:t>
      </w:r>
    </w:p>
    <w:p w14:paraId="27EBB9D1" w14:textId="77777777" w:rsidR="00D375A3" w:rsidRDefault="00000000">
      <w:pPr>
        <w:spacing w:before="60" w:after="60"/>
      </w:pPr>
      <w:r>
        <w:t>It was confirmed that ownership of the Neighbourhood Plan documents lies with the Parish Council.</w:t>
      </w:r>
    </w:p>
    <w:p w14:paraId="194447F7" w14:textId="77777777" w:rsidR="00D375A3" w:rsidRDefault="00000000">
      <w:pPr>
        <w:spacing w:before="200" w:after="80"/>
      </w:pPr>
      <w:r>
        <w:rPr>
          <w:b/>
          <w:bCs/>
          <w:sz w:val="24"/>
          <w:szCs w:val="24"/>
        </w:rPr>
        <w:t>Grey Belt (GB) Study</w:t>
      </w:r>
    </w:p>
    <w:p w14:paraId="6B899BAE" w14:textId="77777777" w:rsidR="00D375A3" w:rsidRDefault="00000000">
      <w:pPr>
        <w:spacing w:before="60" w:after="60"/>
      </w:pPr>
      <w:r>
        <w:t>Councillor Watts explained that the GB Study was more difficult to amend, as only ONH had access to the plans. As a new piece of work, ONH were heavily invested in ensuring its accuracy.</w:t>
      </w:r>
    </w:p>
    <w:p w14:paraId="192650F5" w14:textId="77777777" w:rsidR="00D375A3" w:rsidRDefault="00000000">
      <w:pPr>
        <w:spacing w:before="60" w:after="60"/>
      </w:pPr>
      <w:r>
        <w:t>The following amendment to the GB Study was agreed:</w:t>
      </w:r>
    </w:p>
    <w:p w14:paraId="6DFC8C76" w14:textId="77777777" w:rsidR="00D375A3" w:rsidRDefault="00000000">
      <w:pPr>
        <w:spacing w:before="60" w:after="60"/>
      </w:pPr>
      <w:r>
        <w:t>Page 12, paragraph 4.16 — delete the following text:</w:t>
      </w:r>
    </w:p>
    <w:p w14:paraId="0CA57352" w14:textId="77777777" w:rsidR="00D375A3" w:rsidRDefault="00000000">
      <w:pPr>
        <w:spacing w:before="60" w:after="60"/>
        <w:ind w:left="720"/>
      </w:pPr>
      <w:r>
        <w:rPr>
          <w:i/>
          <w:iCs/>
          <w:color w:val="595959"/>
        </w:rPr>
        <w:t>"However, without that service being properly established, and recognising the vulnerability of bus services in rural areas in recent years, it is now considered this is not sufficient for the village to be a sustainable location for this purpose."</w:t>
      </w:r>
    </w:p>
    <w:p w14:paraId="4245CC5B" w14:textId="77777777" w:rsidR="00D375A3" w:rsidRDefault="00000000">
      <w:pPr>
        <w:spacing w:before="60" w:after="60"/>
      </w:pPr>
      <w:r>
        <w:t>And replace with:</w:t>
      </w:r>
    </w:p>
    <w:p w14:paraId="0ABDA869" w14:textId="77777777" w:rsidR="00D375A3" w:rsidRDefault="00000000">
      <w:pPr>
        <w:spacing w:before="60" w:after="60"/>
        <w:ind w:left="720"/>
      </w:pPr>
      <w:r>
        <w:rPr>
          <w:i/>
          <w:iCs/>
          <w:color w:val="595959"/>
        </w:rPr>
        <w:t>"It assessed that Whelpley Hill and Orchard Leigh are too small and remote from local and established public transport services, without established safe access pedestrian routes with no reasonable prospect of that changing without a fundamental shift in future strategic spatial planning policy."</w:t>
      </w:r>
    </w:p>
    <w:p w14:paraId="28F28675" w14:textId="77777777" w:rsidR="00D375A3" w:rsidRDefault="00000000">
      <w:pPr>
        <w:spacing w:before="80" w:after="80"/>
        <w:ind w:left="720"/>
      </w:pPr>
      <w:r>
        <w:rPr>
          <w:b/>
          <w:bCs/>
          <w:color w:val="C00000"/>
        </w:rPr>
        <w:t>ACTION: Steering Group (SG) to implement the above amendment.</w:t>
      </w:r>
    </w:p>
    <w:p w14:paraId="7B1D06D3" w14:textId="77777777" w:rsidR="00D375A3" w:rsidRDefault="00000000">
      <w:pPr>
        <w:spacing w:before="200" w:after="80"/>
      </w:pPr>
      <w:r>
        <w:rPr>
          <w:b/>
          <w:bCs/>
          <w:sz w:val="24"/>
          <w:szCs w:val="24"/>
        </w:rPr>
        <w:lastRenderedPageBreak/>
        <w:t>Whelpley Hill Bus Service</w:t>
      </w:r>
    </w:p>
    <w:p w14:paraId="239BC211" w14:textId="77777777" w:rsidR="00D375A3" w:rsidRDefault="00000000">
      <w:pPr>
        <w:spacing w:before="60" w:after="60"/>
      </w:pPr>
      <w:r>
        <w:t>Issues surrounding the Whelpley Hill bus service were discussed in the context of the above amendment.</w:t>
      </w:r>
    </w:p>
    <w:p w14:paraId="2970D1EE" w14:textId="77777777" w:rsidR="00D375A3" w:rsidRDefault="00000000">
      <w:pPr>
        <w:spacing w:before="200" w:after="80"/>
      </w:pPr>
      <w:r>
        <w:rPr>
          <w:b/>
          <w:bCs/>
          <w:sz w:val="24"/>
          <w:szCs w:val="24"/>
        </w:rPr>
        <w:t>Bucks Planning Policy</w:t>
      </w:r>
    </w:p>
    <w:p w14:paraId="68326370" w14:textId="77777777" w:rsidR="00D375A3" w:rsidRDefault="00000000">
      <w:pPr>
        <w:spacing w:before="60" w:after="60"/>
      </w:pPr>
      <w:r>
        <w:t>Comment was made on the aged nature of existing Buckinghamshire planning policy and the proximity of the emerging Local Plan.</w:t>
      </w:r>
    </w:p>
    <w:p w14:paraId="701DA091" w14:textId="77777777" w:rsidR="00D375A3" w:rsidRDefault="00000000">
      <w:pPr>
        <w:spacing w:before="200" w:after="80"/>
      </w:pPr>
      <w:r>
        <w:rPr>
          <w:b/>
          <w:bCs/>
          <w:sz w:val="24"/>
          <w:szCs w:val="24"/>
        </w:rPr>
        <w:t>Consultation Statement — Paragraphs 5.1b and 5.1c</w:t>
      </w:r>
    </w:p>
    <w:p w14:paraId="3BA5D58F" w14:textId="77777777" w:rsidR="00D375A3" w:rsidRDefault="00000000">
      <w:pPr>
        <w:spacing w:before="60" w:after="60"/>
      </w:pPr>
      <w:r>
        <w:t>It was noted that paragraphs 5.1b and 5.1c appear only within the Consultation Statement. Going forward, it is assumed that the principal documents will be the NP, the GB Study and the Design Annex. As paragraphs 5.1b and 5.1c are considered important, they need to be inserted into the NP, the GB Study, or both.</w:t>
      </w:r>
    </w:p>
    <w:p w14:paraId="63FEA497" w14:textId="77777777" w:rsidR="00D375A3" w:rsidRDefault="00000000">
      <w:pPr>
        <w:spacing w:before="80" w:after="80"/>
        <w:ind w:left="720"/>
      </w:pPr>
      <w:r>
        <w:rPr>
          <w:b/>
          <w:bCs/>
          <w:color w:val="C00000"/>
        </w:rPr>
        <w:t>ACTION: SG to action insertion of paragraphs 5.1b and 5.1c into the appropriate document(s).</w:t>
      </w:r>
    </w:p>
    <w:p w14:paraId="3AFD264C" w14:textId="77777777" w:rsidR="00D375A3" w:rsidRDefault="00000000">
      <w:pPr>
        <w:spacing w:before="200" w:after="80"/>
      </w:pPr>
      <w:r>
        <w:rPr>
          <w:b/>
          <w:bCs/>
          <w:sz w:val="24"/>
          <w:szCs w:val="24"/>
        </w:rPr>
        <w:t>Number of Houses</w:t>
      </w:r>
    </w:p>
    <w:p w14:paraId="1CB30B9A" w14:textId="77777777" w:rsidR="00D375A3" w:rsidRDefault="00000000">
      <w:pPr>
        <w:spacing w:before="60" w:after="60"/>
      </w:pPr>
      <w:r>
        <w:t>The number of houses was discussed. A figure of 22 was agreed.</w:t>
      </w:r>
    </w:p>
    <w:p w14:paraId="1BD0CC31" w14:textId="77777777" w:rsidR="00D375A3" w:rsidRDefault="00000000">
      <w:pPr>
        <w:spacing w:before="200" w:after="80"/>
      </w:pPr>
      <w:r>
        <w:rPr>
          <w:b/>
          <w:bCs/>
          <w:sz w:val="24"/>
          <w:szCs w:val="24"/>
        </w:rPr>
        <w:t>NP — Date of Grey Belt Study</w:t>
      </w:r>
    </w:p>
    <w:p w14:paraId="343644F3" w14:textId="77777777" w:rsidR="00D375A3" w:rsidRDefault="00000000">
      <w:pPr>
        <w:spacing w:before="60" w:after="60"/>
      </w:pPr>
      <w:r>
        <w:t xml:space="preserve">It was noted that the NP at page 12, paragraph 3.8, refers to the Grey Belt Study as being dated March 2026. The correct date is May </w:t>
      </w:r>
      <w:proofErr w:type="gramStart"/>
      <w:r>
        <w:t>2026</w:t>
      </w:r>
      <w:proofErr w:type="gramEnd"/>
      <w:r>
        <w:t xml:space="preserve"> and this should be amended accordingly.</w:t>
      </w:r>
    </w:p>
    <w:p w14:paraId="20FFED41" w14:textId="77777777" w:rsidR="00D375A3" w:rsidRDefault="00000000">
      <w:pPr>
        <w:spacing w:before="80" w:after="80"/>
        <w:ind w:left="720"/>
      </w:pPr>
      <w:r>
        <w:rPr>
          <w:b/>
          <w:bCs/>
          <w:color w:val="C00000"/>
        </w:rPr>
        <w:t>ACTION: SG to correct the date of the Grey Belt Study in NP paragraph 3.8 to May 2026.</w:t>
      </w:r>
    </w:p>
    <w:p w14:paraId="153D9B53" w14:textId="77777777" w:rsidR="00D375A3" w:rsidRDefault="00000000">
      <w:pPr>
        <w:spacing w:before="200" w:after="80"/>
      </w:pPr>
      <w:r>
        <w:rPr>
          <w:b/>
          <w:bCs/>
          <w:sz w:val="24"/>
          <w:szCs w:val="24"/>
        </w:rPr>
        <w:t>Consultation Statement — Public Availability</w:t>
      </w:r>
    </w:p>
    <w:p w14:paraId="777C8848" w14:textId="77777777" w:rsidR="00D375A3" w:rsidRDefault="00000000">
      <w:pPr>
        <w:spacing w:before="80" w:after="80"/>
        <w:ind w:left="720"/>
      </w:pPr>
      <w:r>
        <w:rPr>
          <w:b/>
          <w:bCs/>
          <w:color w:val="C00000"/>
        </w:rPr>
        <w:t>ACTION: Clerk to confirm that the Consultation Statement can be made publicly available.</w:t>
      </w:r>
    </w:p>
    <w:p w14:paraId="7F8516C8" w14:textId="77777777" w:rsidR="00D375A3" w:rsidRDefault="00000000">
      <w:pPr>
        <w:spacing w:before="200" w:after="80"/>
      </w:pPr>
      <w:r>
        <w:rPr>
          <w:b/>
          <w:bCs/>
          <w:sz w:val="24"/>
          <w:szCs w:val="24"/>
        </w:rPr>
        <w:t xml:space="preserve">Land Adjacent to </w:t>
      </w:r>
      <w:proofErr w:type="spellStart"/>
      <w:r>
        <w:rPr>
          <w:b/>
          <w:bCs/>
          <w:sz w:val="24"/>
          <w:szCs w:val="24"/>
        </w:rPr>
        <w:t>Coblands</w:t>
      </w:r>
      <w:proofErr w:type="spellEnd"/>
    </w:p>
    <w:p w14:paraId="2FC7F4C3" w14:textId="77777777" w:rsidR="00D375A3" w:rsidRDefault="00000000">
      <w:pPr>
        <w:spacing w:before="60" w:after="60"/>
      </w:pPr>
      <w:r>
        <w:t xml:space="preserve">Land adjacent to </w:t>
      </w:r>
      <w:proofErr w:type="spellStart"/>
      <w:r>
        <w:t>Coblands</w:t>
      </w:r>
      <w:proofErr w:type="spellEnd"/>
      <w:r>
        <w:t xml:space="preserve"> was discussed in connection with density, quality and character of development.</w:t>
      </w:r>
    </w:p>
    <w:p w14:paraId="2505AB4B" w14:textId="77777777" w:rsidR="00D375A3" w:rsidRDefault="00000000">
      <w:pPr>
        <w:spacing w:before="200" w:after="80"/>
      </w:pPr>
      <w:r>
        <w:rPr>
          <w:b/>
          <w:bCs/>
          <w:sz w:val="24"/>
          <w:szCs w:val="24"/>
        </w:rPr>
        <w:t>Public Meetings</w:t>
      </w:r>
    </w:p>
    <w:p w14:paraId="6589168A" w14:textId="77777777" w:rsidR="00D375A3" w:rsidRDefault="00000000">
      <w:pPr>
        <w:spacing w:before="60" w:after="60"/>
      </w:pPr>
      <w:r>
        <w:t>It was discussed that a Q&amp;A sheet could be produced for the proposed public meetings, possibly drawing on the exchanges contained in the attached email. The timing for public meetings is to be agreed; a timetable from Buckinghamshire Council is required before dates can be confirmed.</w:t>
      </w:r>
    </w:p>
    <w:p w14:paraId="5732921C" w14:textId="77777777" w:rsidR="00D375A3" w:rsidRDefault="00D375A3">
      <w:pPr>
        <w:spacing w:after="120"/>
      </w:pPr>
    </w:p>
    <w:p w14:paraId="4A1C1E2E" w14:textId="77777777" w:rsidR="00D375A3" w:rsidRDefault="00000000">
      <w:pPr>
        <w:pBdr>
          <w:bottom w:val="single" w:sz="4" w:space="1" w:color="2E75B6"/>
        </w:pBdr>
        <w:spacing w:before="240" w:after="120"/>
      </w:pPr>
      <w:r>
        <w:rPr>
          <w:b/>
          <w:bCs/>
          <w:sz w:val="26"/>
          <w:szCs w:val="26"/>
        </w:rPr>
        <w:t>3.  Adoption of Neighbourhood Plan Documents</w:t>
      </w:r>
    </w:p>
    <w:p w14:paraId="33BE94AB" w14:textId="77777777" w:rsidR="00D375A3" w:rsidRDefault="00000000">
      <w:pPr>
        <w:spacing w:before="60" w:after="60"/>
      </w:pPr>
      <w:proofErr w:type="gramStart"/>
      <w:r>
        <w:t>In order to</w:t>
      </w:r>
      <w:proofErr w:type="gramEnd"/>
      <w:r>
        <w:t xml:space="preserve"> avoid the need for a further Extraordinary General Meeting, four Councillors agreed to adopt the Neighbourhood Plan and associated documents subject to the amendments detailed above being implemented. The amended documents are to be circulated to all Councillors and approved by email prior to submission to Buckinghamshire Council.</w:t>
      </w:r>
    </w:p>
    <w:p w14:paraId="315A2250" w14:textId="77777777" w:rsidR="00D375A3" w:rsidRDefault="00000000">
      <w:pPr>
        <w:spacing w:before="60" w:after="60"/>
      </w:pPr>
      <w:r>
        <w:t>Councillor Fidler declined to adopt.</w:t>
      </w:r>
    </w:p>
    <w:p w14:paraId="69E327C2" w14:textId="77777777" w:rsidR="00D375A3" w:rsidRDefault="00D375A3">
      <w:pPr>
        <w:spacing w:after="120"/>
      </w:pPr>
    </w:p>
    <w:p w14:paraId="4A792F5E" w14:textId="77777777" w:rsidR="00D375A3" w:rsidRDefault="00000000">
      <w:pPr>
        <w:pBdr>
          <w:bottom w:val="single" w:sz="4" w:space="1" w:color="2E75B6"/>
        </w:pBdr>
        <w:spacing w:before="240" w:after="120"/>
      </w:pPr>
      <w:r>
        <w:rPr>
          <w:b/>
          <w:bCs/>
          <w:sz w:val="26"/>
          <w:szCs w:val="26"/>
        </w:rPr>
        <w:t>4.  Close of Meeting</w:t>
      </w:r>
    </w:p>
    <w:p w14:paraId="261B0696" w14:textId="77777777" w:rsidR="00D375A3" w:rsidRDefault="00000000">
      <w:pPr>
        <w:spacing w:before="60" w:after="60"/>
      </w:pPr>
      <w:r>
        <w:lastRenderedPageBreak/>
        <w:t>The meeting closed at 6.45pm.</w:t>
      </w:r>
    </w:p>
    <w:p w14:paraId="75D86F5F" w14:textId="77777777" w:rsidR="00D375A3" w:rsidRDefault="00D375A3">
      <w:pPr>
        <w:spacing w:after="240"/>
      </w:pPr>
    </w:p>
    <w:p w14:paraId="0B358946" w14:textId="77777777" w:rsidR="00D375A3" w:rsidRDefault="00000000">
      <w:pPr>
        <w:pBdr>
          <w:bottom w:val="single" w:sz="4" w:space="1" w:color="2E75B6"/>
        </w:pBdr>
        <w:spacing w:before="240" w:after="120"/>
      </w:pPr>
      <w:r>
        <w:rPr>
          <w:b/>
          <w:bCs/>
          <w:sz w:val="26"/>
          <w:szCs w:val="26"/>
        </w:rPr>
        <w:t>Summary of Actions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360"/>
      </w:tblGrid>
      <w:tr w:rsidR="00D375A3" w14:paraId="40F87AA1" w14:textId="77777777">
        <w:tblPrEx>
          <w:tblCellMar>
            <w:top w:w="0" w:type="dxa"/>
            <w:bottom w:w="0" w:type="dxa"/>
          </w:tblCellMar>
        </w:tblPrEx>
        <w:tc>
          <w:tcPr>
            <w:tcW w:w="6000" w:type="dxa"/>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1FDFFC5A" w14:textId="77777777" w:rsidR="00D375A3" w:rsidRDefault="00000000">
            <w:r>
              <w:rPr>
                <w:b/>
                <w:bCs/>
                <w:color w:val="FFFFFF"/>
              </w:rPr>
              <w:t>Action</w:t>
            </w:r>
          </w:p>
        </w:tc>
        <w:tc>
          <w:tcPr>
            <w:tcW w:w="3360" w:type="dxa"/>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6EE0CBD4" w14:textId="77777777" w:rsidR="00D375A3" w:rsidRDefault="00000000">
            <w:r>
              <w:rPr>
                <w:b/>
                <w:bCs/>
                <w:color w:val="FFFFFF"/>
              </w:rPr>
              <w:t>Responsible</w:t>
            </w:r>
          </w:p>
        </w:tc>
      </w:tr>
      <w:tr w:rsidR="00D375A3" w14:paraId="2499E0A2" w14:textId="77777777">
        <w:tblPrEx>
          <w:tblCellMar>
            <w:top w:w="0" w:type="dxa"/>
            <w:bottom w:w="0" w:type="dxa"/>
          </w:tblCellMar>
        </w:tblPrEx>
        <w:tc>
          <w:tcPr>
            <w:tcW w:w="6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853AA6" w14:textId="77777777" w:rsidR="00D375A3" w:rsidRDefault="00000000">
            <w:r>
              <w:t>Amend GB Study page 12, para 4.16 as agreed</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D27A2B5" w14:textId="77777777" w:rsidR="00D375A3" w:rsidRDefault="00000000">
            <w:r>
              <w:t>Steering Group</w:t>
            </w:r>
          </w:p>
        </w:tc>
      </w:tr>
      <w:tr w:rsidR="00D375A3" w14:paraId="6CEA0ABD" w14:textId="77777777">
        <w:tblPrEx>
          <w:tblCellMar>
            <w:top w:w="0" w:type="dxa"/>
            <w:bottom w:w="0" w:type="dxa"/>
          </w:tblCellMar>
        </w:tblPrEx>
        <w:tc>
          <w:tcPr>
            <w:tcW w:w="6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E4B6977" w14:textId="77777777" w:rsidR="00D375A3" w:rsidRDefault="00000000">
            <w:r>
              <w:t>Insert paragraphs 5.1b and 5.1c into NP and/or GB Study</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E19C010" w14:textId="77777777" w:rsidR="00D375A3" w:rsidRDefault="00000000">
            <w:r>
              <w:t>Steering Group</w:t>
            </w:r>
          </w:p>
        </w:tc>
      </w:tr>
      <w:tr w:rsidR="00D375A3" w14:paraId="278659A2" w14:textId="77777777">
        <w:tblPrEx>
          <w:tblCellMar>
            <w:top w:w="0" w:type="dxa"/>
            <w:bottom w:w="0" w:type="dxa"/>
          </w:tblCellMar>
        </w:tblPrEx>
        <w:tc>
          <w:tcPr>
            <w:tcW w:w="6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AAE846" w14:textId="77777777" w:rsidR="00D375A3" w:rsidRDefault="00000000">
            <w:r>
              <w:t>Correct date of GB Study in NP para 3.8 to May 2026</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9DA9C2" w14:textId="77777777" w:rsidR="00D375A3" w:rsidRDefault="00000000">
            <w:r>
              <w:t>Steering Group</w:t>
            </w:r>
          </w:p>
        </w:tc>
      </w:tr>
      <w:tr w:rsidR="00D375A3" w14:paraId="4B2DE0B0" w14:textId="77777777">
        <w:tblPrEx>
          <w:tblCellMar>
            <w:top w:w="0" w:type="dxa"/>
            <w:bottom w:w="0" w:type="dxa"/>
          </w:tblCellMar>
        </w:tblPrEx>
        <w:tc>
          <w:tcPr>
            <w:tcW w:w="6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2973BE" w14:textId="77777777" w:rsidR="00D375A3" w:rsidRDefault="00000000">
            <w:r>
              <w:t>Confirm Consultation Statement can be made publicly available</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4A1C56" w14:textId="77777777" w:rsidR="00D375A3" w:rsidRDefault="00000000">
            <w:r>
              <w:t>Clerk</w:t>
            </w:r>
          </w:p>
        </w:tc>
      </w:tr>
      <w:tr w:rsidR="00D375A3" w14:paraId="53171A4D" w14:textId="77777777">
        <w:tblPrEx>
          <w:tblCellMar>
            <w:top w:w="0" w:type="dxa"/>
            <w:bottom w:w="0" w:type="dxa"/>
          </w:tblCellMar>
        </w:tblPrEx>
        <w:tc>
          <w:tcPr>
            <w:tcW w:w="6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A11AAC9" w14:textId="77777777" w:rsidR="00D375A3" w:rsidRDefault="00000000">
            <w:r>
              <w:t>Circulate amended documents to Councillors for email approval prior to submission to Bucks</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2D1BB9B" w14:textId="77777777" w:rsidR="00D375A3" w:rsidRDefault="00000000">
            <w:r>
              <w:t>Steering Group / Clerk</w:t>
            </w:r>
          </w:p>
        </w:tc>
      </w:tr>
      <w:tr w:rsidR="00D375A3" w14:paraId="4B84C9FF" w14:textId="77777777">
        <w:tblPrEx>
          <w:tblCellMar>
            <w:top w:w="0" w:type="dxa"/>
            <w:bottom w:w="0" w:type="dxa"/>
          </w:tblCellMar>
        </w:tblPrEx>
        <w:tc>
          <w:tcPr>
            <w:tcW w:w="6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58D284" w14:textId="77777777" w:rsidR="00D375A3" w:rsidRDefault="00000000">
            <w:r>
              <w:t>Obtain timetable from Bucks Council before confirming public meeting dates</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290E3ED" w14:textId="77777777" w:rsidR="00D375A3" w:rsidRDefault="00000000">
            <w:r>
              <w:t>Clerk</w:t>
            </w:r>
          </w:p>
        </w:tc>
      </w:tr>
    </w:tbl>
    <w:p w14:paraId="40461FBE" w14:textId="77777777" w:rsidR="00D375A3" w:rsidRDefault="00D375A3">
      <w:pPr>
        <w:spacing w:after="360"/>
      </w:pPr>
    </w:p>
    <w:p w14:paraId="5D3C8946" w14:textId="77777777" w:rsidR="00D375A3" w:rsidRDefault="00000000">
      <w:pPr>
        <w:spacing w:after="80"/>
      </w:pPr>
      <w:r>
        <w:t>Signed (Chairman): ___________________________</w:t>
      </w:r>
    </w:p>
    <w:p w14:paraId="766B26AE" w14:textId="77777777" w:rsidR="00D375A3" w:rsidRDefault="00000000">
      <w:pPr>
        <w:spacing w:after="240"/>
      </w:pPr>
      <w:r>
        <w:t>Date: ___________________________</w:t>
      </w:r>
    </w:p>
    <w:p w14:paraId="07B7E2C4" w14:textId="77777777" w:rsidR="00D375A3" w:rsidRDefault="00000000">
      <w:pPr>
        <w:rPr>
          <w:i/>
          <w:iCs/>
          <w:color w:val="595959"/>
          <w:sz w:val="20"/>
          <w:szCs w:val="20"/>
        </w:rPr>
      </w:pPr>
      <w:r>
        <w:rPr>
          <w:i/>
          <w:iCs/>
          <w:color w:val="595959"/>
          <w:sz w:val="20"/>
          <w:szCs w:val="20"/>
        </w:rPr>
        <w:t>Note: The email exchange between Councillor Fidler and Councillor Watts (Chair of the Steering Group) is to be appended to these minutes.</w:t>
      </w:r>
    </w:p>
    <w:p w14:paraId="179D9BCB" w14:textId="77777777" w:rsidR="00500575" w:rsidRDefault="00500575">
      <w:pPr>
        <w:rPr>
          <w:i/>
          <w:iCs/>
          <w:color w:val="595959"/>
          <w:sz w:val="20"/>
          <w:szCs w:val="20"/>
        </w:rPr>
      </w:pPr>
    </w:p>
    <w:p w14:paraId="6B2E3663" w14:textId="77777777" w:rsidR="00500575" w:rsidRDefault="00500575">
      <w:pPr>
        <w:rPr>
          <w:i/>
          <w:iCs/>
          <w:color w:val="595959"/>
          <w:sz w:val="20"/>
          <w:szCs w:val="20"/>
        </w:rPr>
      </w:pPr>
    </w:p>
    <w:p w14:paraId="212F3494" w14:textId="77777777" w:rsidR="00500575" w:rsidRDefault="00500575">
      <w:pPr>
        <w:rPr>
          <w:i/>
          <w:iCs/>
          <w:color w:val="595959"/>
          <w:sz w:val="20"/>
          <w:szCs w:val="20"/>
        </w:rPr>
      </w:pPr>
    </w:p>
    <w:p w14:paraId="5C729574" w14:textId="77777777" w:rsidR="00500575" w:rsidRDefault="00500575">
      <w:pPr>
        <w:rPr>
          <w:i/>
          <w:iCs/>
          <w:color w:val="595959"/>
          <w:sz w:val="20"/>
          <w:szCs w:val="20"/>
        </w:rPr>
      </w:pPr>
    </w:p>
    <w:p w14:paraId="4EDE8D34" w14:textId="77777777" w:rsidR="00500575" w:rsidRDefault="00500575">
      <w:pPr>
        <w:rPr>
          <w:i/>
          <w:iCs/>
          <w:color w:val="595959"/>
          <w:sz w:val="20"/>
          <w:szCs w:val="20"/>
        </w:rPr>
      </w:pPr>
    </w:p>
    <w:p w14:paraId="703ABC14" w14:textId="77777777" w:rsidR="00500575" w:rsidRDefault="00500575">
      <w:pPr>
        <w:rPr>
          <w:i/>
          <w:iCs/>
          <w:color w:val="595959"/>
          <w:sz w:val="20"/>
          <w:szCs w:val="20"/>
        </w:rPr>
      </w:pPr>
    </w:p>
    <w:p w14:paraId="0A429F5A" w14:textId="77777777" w:rsidR="00500575" w:rsidRDefault="00500575">
      <w:pPr>
        <w:rPr>
          <w:i/>
          <w:iCs/>
          <w:color w:val="595959"/>
          <w:sz w:val="20"/>
          <w:szCs w:val="20"/>
        </w:rPr>
      </w:pPr>
    </w:p>
    <w:p w14:paraId="37D2B4DA" w14:textId="77777777" w:rsidR="00500575" w:rsidRDefault="00500575">
      <w:pPr>
        <w:rPr>
          <w:i/>
          <w:iCs/>
          <w:color w:val="595959"/>
          <w:sz w:val="20"/>
          <w:szCs w:val="20"/>
        </w:rPr>
      </w:pPr>
    </w:p>
    <w:p w14:paraId="6B0AB70D" w14:textId="77777777" w:rsidR="00500575" w:rsidRDefault="00500575">
      <w:pPr>
        <w:rPr>
          <w:i/>
          <w:iCs/>
          <w:color w:val="595959"/>
          <w:sz w:val="20"/>
          <w:szCs w:val="20"/>
        </w:rPr>
      </w:pPr>
    </w:p>
    <w:p w14:paraId="247695C7" w14:textId="77777777" w:rsidR="00500575" w:rsidRDefault="00500575">
      <w:pPr>
        <w:rPr>
          <w:i/>
          <w:iCs/>
          <w:color w:val="595959"/>
          <w:sz w:val="20"/>
          <w:szCs w:val="20"/>
        </w:rPr>
      </w:pPr>
    </w:p>
    <w:p w14:paraId="21B8C244" w14:textId="77777777" w:rsidR="00500575" w:rsidRDefault="00500575">
      <w:pPr>
        <w:rPr>
          <w:i/>
          <w:iCs/>
          <w:color w:val="595959"/>
          <w:sz w:val="20"/>
          <w:szCs w:val="20"/>
        </w:rPr>
      </w:pPr>
    </w:p>
    <w:p w14:paraId="7A8379FB" w14:textId="77777777" w:rsidR="00500575" w:rsidRDefault="00500575">
      <w:pPr>
        <w:rPr>
          <w:i/>
          <w:iCs/>
          <w:color w:val="595959"/>
          <w:sz w:val="20"/>
          <w:szCs w:val="20"/>
        </w:rPr>
      </w:pPr>
    </w:p>
    <w:p w14:paraId="04FD5883" w14:textId="77777777" w:rsidR="00500575" w:rsidRDefault="00500575">
      <w:pPr>
        <w:rPr>
          <w:i/>
          <w:iCs/>
          <w:color w:val="595959"/>
          <w:sz w:val="20"/>
          <w:szCs w:val="20"/>
        </w:rPr>
      </w:pPr>
    </w:p>
    <w:p w14:paraId="6195DC98" w14:textId="77777777" w:rsidR="00500575" w:rsidRDefault="00500575">
      <w:pPr>
        <w:rPr>
          <w:i/>
          <w:iCs/>
          <w:color w:val="595959"/>
          <w:sz w:val="20"/>
          <w:szCs w:val="20"/>
        </w:rPr>
      </w:pPr>
    </w:p>
    <w:p w14:paraId="28079E18" w14:textId="77777777" w:rsidR="00500575" w:rsidRDefault="00500575">
      <w:pPr>
        <w:rPr>
          <w:i/>
          <w:iCs/>
          <w:color w:val="595959"/>
          <w:sz w:val="20"/>
          <w:szCs w:val="20"/>
        </w:rPr>
      </w:pPr>
    </w:p>
    <w:p w14:paraId="50A5D7C0" w14:textId="77777777" w:rsidR="00500575" w:rsidRDefault="00500575">
      <w:pPr>
        <w:rPr>
          <w:i/>
          <w:iCs/>
          <w:color w:val="595959"/>
          <w:sz w:val="20"/>
          <w:szCs w:val="20"/>
        </w:rPr>
      </w:pPr>
    </w:p>
    <w:p w14:paraId="5259DE31" w14:textId="77777777" w:rsidR="00500575" w:rsidRDefault="00500575">
      <w:pPr>
        <w:rPr>
          <w:i/>
          <w:iCs/>
          <w:color w:val="595959"/>
          <w:sz w:val="20"/>
          <w:szCs w:val="20"/>
        </w:rPr>
      </w:pPr>
    </w:p>
    <w:p w14:paraId="12A1327D" w14:textId="77777777" w:rsidR="00500575" w:rsidRDefault="00500575">
      <w:pPr>
        <w:rPr>
          <w:i/>
          <w:iCs/>
          <w:color w:val="595959"/>
          <w:sz w:val="20"/>
          <w:szCs w:val="20"/>
        </w:rPr>
      </w:pPr>
    </w:p>
    <w:p w14:paraId="112E6537" w14:textId="77777777" w:rsidR="00500575" w:rsidRDefault="00500575">
      <w:pPr>
        <w:rPr>
          <w:i/>
          <w:iCs/>
          <w:color w:val="595959"/>
          <w:sz w:val="20"/>
          <w:szCs w:val="20"/>
        </w:rPr>
      </w:pPr>
    </w:p>
    <w:p w14:paraId="29CE2E07" w14:textId="77777777" w:rsidR="00500575" w:rsidRDefault="00500575">
      <w:pPr>
        <w:rPr>
          <w:i/>
          <w:iCs/>
          <w:color w:val="595959"/>
          <w:sz w:val="20"/>
          <w:szCs w:val="20"/>
        </w:rPr>
      </w:pPr>
    </w:p>
    <w:p w14:paraId="581C3BB3" w14:textId="77777777" w:rsidR="00500575" w:rsidRDefault="00500575">
      <w:pPr>
        <w:rPr>
          <w:i/>
          <w:iCs/>
          <w:color w:val="595959"/>
          <w:sz w:val="20"/>
          <w:szCs w:val="20"/>
        </w:rPr>
      </w:pPr>
    </w:p>
    <w:p w14:paraId="6A0660B8" w14:textId="77777777" w:rsidR="00500575" w:rsidRDefault="00500575">
      <w:pPr>
        <w:rPr>
          <w:i/>
          <w:iCs/>
          <w:color w:val="595959"/>
          <w:sz w:val="20"/>
          <w:szCs w:val="20"/>
        </w:rPr>
      </w:pPr>
    </w:p>
    <w:p w14:paraId="1020E052" w14:textId="77777777" w:rsidR="00500575" w:rsidRDefault="00500575">
      <w:pPr>
        <w:rPr>
          <w:i/>
          <w:iCs/>
          <w:color w:val="595959"/>
          <w:sz w:val="20"/>
          <w:szCs w:val="20"/>
        </w:rPr>
      </w:pPr>
    </w:p>
    <w:p w14:paraId="3BABC00D" w14:textId="77777777" w:rsidR="00500575" w:rsidRDefault="00500575">
      <w:pPr>
        <w:rPr>
          <w:i/>
          <w:iCs/>
          <w:color w:val="595959"/>
          <w:sz w:val="20"/>
          <w:szCs w:val="20"/>
        </w:rPr>
      </w:pPr>
    </w:p>
    <w:p w14:paraId="086721DC" w14:textId="77777777" w:rsidR="00500575" w:rsidRDefault="00500575">
      <w:pPr>
        <w:rPr>
          <w:i/>
          <w:iCs/>
          <w:color w:val="595959"/>
          <w:sz w:val="20"/>
          <w:szCs w:val="20"/>
        </w:rPr>
      </w:pPr>
    </w:p>
    <w:p w14:paraId="1CBBCA9E" w14:textId="77777777" w:rsidR="00500575" w:rsidRDefault="00500575">
      <w:pPr>
        <w:rPr>
          <w:i/>
          <w:iCs/>
          <w:color w:val="595959"/>
          <w:sz w:val="20"/>
          <w:szCs w:val="20"/>
        </w:rPr>
      </w:pPr>
    </w:p>
    <w:p w14:paraId="4A57F918" w14:textId="77777777" w:rsidR="00500575" w:rsidRDefault="00500575">
      <w:pPr>
        <w:rPr>
          <w:i/>
          <w:iCs/>
          <w:color w:val="595959"/>
          <w:sz w:val="20"/>
          <w:szCs w:val="20"/>
        </w:rPr>
      </w:pPr>
    </w:p>
    <w:p w14:paraId="7AA72257" w14:textId="77777777" w:rsidR="00500575" w:rsidRDefault="00500575">
      <w:pPr>
        <w:rPr>
          <w:i/>
          <w:iCs/>
          <w:color w:val="595959"/>
          <w:sz w:val="20"/>
          <w:szCs w:val="20"/>
        </w:rPr>
      </w:pPr>
    </w:p>
    <w:p w14:paraId="60F18672" w14:textId="77777777" w:rsidR="00500575" w:rsidRDefault="00500575">
      <w:pPr>
        <w:rPr>
          <w:i/>
          <w:iCs/>
          <w:color w:val="595959"/>
          <w:sz w:val="20"/>
          <w:szCs w:val="20"/>
        </w:rPr>
      </w:pPr>
    </w:p>
    <w:p w14:paraId="4DAA5C2A" w14:textId="77777777" w:rsidR="00500575" w:rsidRDefault="00500575">
      <w:pPr>
        <w:rPr>
          <w:i/>
          <w:iCs/>
          <w:color w:val="595959"/>
          <w:sz w:val="20"/>
          <w:szCs w:val="20"/>
        </w:rPr>
      </w:pPr>
    </w:p>
    <w:p w14:paraId="170A79D6" w14:textId="28877A2E" w:rsidR="00500575" w:rsidRDefault="00500575" w:rsidP="00500575">
      <w:pPr>
        <w:pBdr>
          <w:bottom w:val="single" w:sz="4" w:space="1" w:color="2E75B6"/>
        </w:pBdr>
        <w:spacing w:before="240" w:after="120"/>
      </w:pPr>
      <w:r>
        <w:rPr>
          <w:b/>
          <w:bCs/>
          <w:sz w:val="26"/>
          <w:szCs w:val="26"/>
        </w:rPr>
        <w:lastRenderedPageBreak/>
        <w:t>APPENDIX</w:t>
      </w:r>
    </w:p>
    <w:p w14:paraId="5411BC1A" w14:textId="11167FF0" w:rsidR="00500575" w:rsidRPr="00500575" w:rsidRDefault="00500575" w:rsidP="00500575">
      <w:pPr>
        <w:ind w:left="-5"/>
        <w:rPr>
          <w:rFonts w:ascii="Calibri" w:eastAsia="Calibri" w:hAnsi="Calibri" w:cs="Calibri"/>
          <w:color w:val="000000"/>
          <w:kern w:val="2"/>
          <w:sz w:val="20"/>
          <w:szCs w:val="24"/>
          <w14:ligatures w14:val="standardContextual"/>
        </w:rPr>
      </w:pPr>
      <w:r w:rsidRPr="00500575">
        <w:t>C</w:t>
      </w:r>
      <w:r w:rsidRPr="00500575">
        <w:rPr>
          <w:rFonts w:ascii="Calibri" w:eastAsia="Calibri" w:hAnsi="Calibri" w:cs="Calibri"/>
          <w:color w:val="000000"/>
          <w:kern w:val="2"/>
          <w:sz w:val="20"/>
          <w:szCs w:val="24"/>
          <w14:ligatures w14:val="standardContextual"/>
        </w:rPr>
        <w:t xml:space="preserve">ouncillors </w:t>
      </w:r>
    </w:p>
    <w:p w14:paraId="476A1327"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Please see attached my general and document specific questions for discussion at the EGM on Thursday 28</w:t>
      </w:r>
      <w:r w:rsidRPr="00500575">
        <w:rPr>
          <w:rFonts w:ascii="Calibri" w:eastAsia="Calibri" w:hAnsi="Calibri" w:cs="Calibri"/>
          <w:color w:val="000000"/>
          <w:kern w:val="2"/>
          <w:sz w:val="18"/>
          <w:szCs w:val="24"/>
          <w:vertAlign w:val="superscript"/>
          <w14:ligatures w14:val="standardContextual"/>
        </w:rPr>
        <w:t>th</w:t>
      </w:r>
      <w:r w:rsidRPr="00500575">
        <w:rPr>
          <w:rFonts w:ascii="Calibri" w:eastAsia="Calibri" w:hAnsi="Calibri" w:cs="Calibri"/>
          <w:color w:val="000000"/>
          <w:kern w:val="2"/>
          <w:sz w:val="20"/>
          <w:szCs w:val="24"/>
          <w14:ligatures w14:val="standardContextual"/>
        </w:rPr>
        <w:t xml:space="preserve"> May 2026, 5:30pm.  I’m happy to read this out or alternatively for you to adopt this note for inclusion in the minutes for the meeting. </w:t>
      </w:r>
    </w:p>
    <w:p w14:paraId="4B6D939D"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I would like to reiterate at the outset that I am not against the concept of a Neighbourhood Plan However, given the newness of the introduction of the concept of Grey Belt it is important the documents are fit for purpose for the next ten years. </w:t>
      </w:r>
    </w:p>
    <w:p w14:paraId="45C4BCB6"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I acknowledge the considerable amount of time and effort many individuals have put into the compilation of the documents, this has not been an easy or straightforward process for those involved.  </w:t>
      </w:r>
    </w:p>
    <w:p w14:paraId="27886151"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I would like to point out my comments are not designed to be ‘unhelpful’, rather to prompt an informed discussion by the Council before a decision is made on the formal adoption of the NP and supporting documents.  Had I been permitted to join the Steering Group in January 2026, as I requested, many of the points below could have been discussed, debated and resolved sooner. </w:t>
      </w:r>
    </w:p>
    <w:p w14:paraId="360A3A0A"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All the documents are an agreed compromise. We will all be able to comment again to Bucks as part of the next stage consultation. Further, the Independent Inspector will also undoubtedly let us know where we have got it wrong or right.</w:t>
      </w:r>
    </w:p>
    <w:p w14:paraId="416174C3" w14:textId="77777777" w:rsidR="00500575" w:rsidRPr="00500575" w:rsidRDefault="00500575" w:rsidP="00500575">
      <w:pPr>
        <w:keepNext/>
        <w:keepLines/>
        <w:spacing w:after="178" w:line="256" w:lineRule="auto"/>
        <w:ind w:left="-5" w:hanging="10"/>
        <w:outlineLvl w:val="0"/>
        <w:rPr>
          <w:rFonts w:ascii="Calibri" w:eastAsia="Calibri" w:hAnsi="Calibri" w:cs="Calibri"/>
          <w:b/>
          <w:color w:val="000000"/>
          <w:kern w:val="2"/>
          <w:sz w:val="20"/>
          <w:szCs w:val="24"/>
          <w:u w:val="single" w:color="000000"/>
          <w14:ligatures w14:val="standardContextual"/>
        </w:rPr>
      </w:pPr>
      <w:r w:rsidRPr="00500575">
        <w:rPr>
          <w:rFonts w:ascii="Calibri" w:eastAsia="Calibri" w:hAnsi="Calibri" w:cs="Calibri"/>
          <w:b/>
          <w:color w:val="000000"/>
          <w:kern w:val="2"/>
          <w:sz w:val="20"/>
          <w:szCs w:val="24"/>
          <w:u w:val="single" w:color="000000"/>
          <w14:ligatures w14:val="standardContextual"/>
        </w:rPr>
        <w:t>General questions and comments in relation to the NP</w:t>
      </w:r>
      <w:r w:rsidRPr="00500575">
        <w:rPr>
          <w:rFonts w:ascii="Calibri" w:eastAsia="Calibri" w:hAnsi="Calibri" w:cs="Calibri"/>
          <w:b/>
          <w:color w:val="000000"/>
          <w:kern w:val="2"/>
          <w:sz w:val="20"/>
          <w:szCs w:val="24"/>
          <w:u w:color="000000"/>
          <w14:ligatures w14:val="standardContextual"/>
        </w:rPr>
        <w:t xml:space="preserve"> </w:t>
      </w:r>
    </w:p>
    <w:p w14:paraId="52C94297"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Who has ‘proprietary rights’ on the NP and the GB Study, is it the PC or ONH? (Consultation Document, page 14 third para refers). Surely, it </w:t>
      </w:r>
      <w:proofErr w:type="gramStart"/>
      <w:r w:rsidRPr="00500575">
        <w:rPr>
          <w:rFonts w:ascii="Calibri" w:eastAsia="Calibri" w:hAnsi="Calibri" w:cs="Calibri"/>
          <w:color w:val="000000"/>
          <w:kern w:val="2"/>
          <w:sz w:val="20"/>
          <w:szCs w:val="24"/>
          <w14:ligatures w14:val="standardContextual"/>
        </w:rPr>
        <w:t>has to</w:t>
      </w:r>
      <w:proofErr w:type="gramEnd"/>
      <w:r w:rsidRPr="00500575">
        <w:rPr>
          <w:rFonts w:ascii="Calibri" w:eastAsia="Calibri" w:hAnsi="Calibri" w:cs="Calibri"/>
          <w:color w:val="000000"/>
          <w:kern w:val="2"/>
          <w:sz w:val="20"/>
          <w:szCs w:val="24"/>
          <w14:ligatures w14:val="standardContextual"/>
        </w:rPr>
        <w:t xml:space="preserve"> be the PC as the body ‘commissioning’ the Plan and having ultimate responsibility for it. If the Steering Group did not agree on a </w:t>
      </w:r>
      <w:proofErr w:type="gramStart"/>
      <w:r w:rsidRPr="00500575">
        <w:rPr>
          <w:rFonts w:ascii="Calibri" w:eastAsia="Calibri" w:hAnsi="Calibri" w:cs="Calibri"/>
          <w:color w:val="000000"/>
          <w:kern w:val="2"/>
          <w:sz w:val="20"/>
          <w:szCs w:val="24"/>
          <w14:ligatures w14:val="standardContextual"/>
        </w:rPr>
        <w:t>matter</w:t>
      </w:r>
      <w:proofErr w:type="gramEnd"/>
      <w:r w:rsidRPr="00500575">
        <w:rPr>
          <w:rFonts w:ascii="Calibri" w:eastAsia="Calibri" w:hAnsi="Calibri" w:cs="Calibri"/>
          <w:color w:val="000000"/>
          <w:kern w:val="2"/>
          <w:sz w:val="20"/>
          <w:szCs w:val="24"/>
          <w14:ligatures w14:val="standardContextual"/>
        </w:rPr>
        <w:t xml:space="preserve"> could it insist a change is made even if ONH disagreed?  Were there such instances, if </w:t>
      </w:r>
      <w:proofErr w:type="gramStart"/>
      <w:r w:rsidRPr="00500575">
        <w:rPr>
          <w:rFonts w:ascii="Calibri" w:eastAsia="Calibri" w:hAnsi="Calibri" w:cs="Calibri"/>
          <w:color w:val="000000"/>
          <w:kern w:val="2"/>
          <w:sz w:val="20"/>
          <w:szCs w:val="24"/>
          <w14:ligatures w14:val="standardContextual"/>
        </w:rPr>
        <w:t>so</w:t>
      </w:r>
      <w:proofErr w:type="gramEnd"/>
      <w:r w:rsidRPr="00500575">
        <w:rPr>
          <w:rFonts w:ascii="Calibri" w:eastAsia="Calibri" w:hAnsi="Calibri" w:cs="Calibri"/>
          <w:color w:val="000000"/>
          <w:kern w:val="2"/>
          <w:sz w:val="20"/>
          <w:szCs w:val="24"/>
          <w14:ligatures w14:val="standardContextual"/>
        </w:rPr>
        <w:t xml:space="preserve"> what were they?   </w:t>
      </w:r>
    </w:p>
    <w:p w14:paraId="0E0C8E53"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We worked as a team and made representations and mutually agreed the outcome. It was a collaborative process with ONH leading.</w:t>
      </w:r>
    </w:p>
    <w:p w14:paraId="12BCB61C"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What is the connection between the NP and GB Study, which document is used going forward formally when assessing Planning Applications, is it both, </w:t>
      </w:r>
      <w:proofErr w:type="spellStart"/>
      <w:r w:rsidRPr="00500575">
        <w:rPr>
          <w:rFonts w:ascii="Calibri" w:eastAsia="Calibri" w:hAnsi="Calibri" w:cs="Calibri"/>
          <w:color w:val="000000"/>
          <w:kern w:val="2"/>
          <w:sz w:val="20"/>
          <w:szCs w:val="24"/>
          <w14:ligatures w14:val="standardContextual"/>
        </w:rPr>
        <w:t>ie</w:t>
      </w:r>
      <w:proofErr w:type="spellEnd"/>
      <w:r w:rsidRPr="00500575">
        <w:rPr>
          <w:rFonts w:ascii="Calibri" w:eastAsia="Calibri" w:hAnsi="Calibri" w:cs="Calibri"/>
          <w:color w:val="000000"/>
          <w:kern w:val="2"/>
          <w:sz w:val="20"/>
          <w:szCs w:val="24"/>
          <w14:ligatures w14:val="standardContextual"/>
        </w:rPr>
        <w:t xml:space="preserve"> does the latter form part of the NP?</w:t>
      </w:r>
    </w:p>
    <w:p w14:paraId="6CA30D3C"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We understand NP leads with GB study and Design statement as annexes</w:t>
      </w:r>
    </w:p>
    <w:p w14:paraId="463FB86C" w14:textId="77777777" w:rsidR="00500575" w:rsidRPr="00500575" w:rsidRDefault="00500575" w:rsidP="00500575">
      <w:pPr>
        <w:spacing w:after="6"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The NP is drafted based on the 1997 Chiltern District Local Plan and Chiltern District Core Strategy, adopted 2011, the first nearly 30 years old, the second 15 years.  Given the next iteration of the Bucks Local Plan is due out July 2026, with the final targeted for Dec 2026, would it not be sensible to wait for that to come out and base it against that?  </w:t>
      </w:r>
      <w:r w:rsidRPr="00500575">
        <w:rPr>
          <w:rFonts w:ascii="Calibri" w:eastAsia="Calibri" w:hAnsi="Calibri" w:cs="Calibri"/>
          <w:color w:val="EE0000"/>
          <w:kern w:val="2"/>
          <w:sz w:val="20"/>
          <w:szCs w:val="24"/>
          <w14:ligatures w14:val="standardContextual"/>
        </w:rPr>
        <w:t>No, Bucks have provided their comments to the NP and are happy for us to proceed</w:t>
      </w:r>
      <w:r w:rsidRPr="00500575">
        <w:rPr>
          <w:rFonts w:ascii="Calibri" w:eastAsia="Calibri" w:hAnsi="Calibri" w:cs="Calibri"/>
          <w:color w:val="000000"/>
          <w:kern w:val="2"/>
          <w:sz w:val="20"/>
          <w:szCs w:val="24"/>
          <w14:ligatures w14:val="standardContextual"/>
        </w:rPr>
        <w:t xml:space="preserve">. The only planning application due is the one </w:t>
      </w:r>
    </w:p>
    <w:p w14:paraId="1592EA5E"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(replacement/rebuild house) on Two Dells Lane, there are no “unbridled development” applications pending and/or people are aware of. </w:t>
      </w:r>
      <w:r w:rsidRPr="00500575">
        <w:rPr>
          <w:rFonts w:ascii="Calibri" w:eastAsia="Calibri" w:hAnsi="Calibri" w:cs="Calibri"/>
          <w:color w:val="EE0000"/>
          <w:kern w:val="2"/>
          <w:sz w:val="20"/>
          <w:szCs w:val="24"/>
          <w14:ligatures w14:val="standardContextual"/>
        </w:rPr>
        <w:t xml:space="preserve">The plan last 10 years, who knows what will come along in a year’s time.   We have an application for 4 houses on land adjacent </w:t>
      </w:r>
      <w:proofErr w:type="spellStart"/>
      <w:r w:rsidRPr="00500575">
        <w:rPr>
          <w:rFonts w:ascii="Calibri" w:eastAsia="Calibri" w:hAnsi="Calibri" w:cs="Calibri"/>
          <w:color w:val="EE0000"/>
          <w:kern w:val="2"/>
          <w:sz w:val="20"/>
          <w:szCs w:val="24"/>
          <w14:ligatures w14:val="standardContextual"/>
        </w:rPr>
        <w:t>Coblands</w:t>
      </w:r>
      <w:proofErr w:type="spellEnd"/>
      <w:r w:rsidRPr="00500575">
        <w:rPr>
          <w:rFonts w:ascii="Calibri" w:eastAsia="Calibri" w:hAnsi="Calibri" w:cs="Calibri"/>
          <w:color w:val="EE0000"/>
          <w:kern w:val="2"/>
          <w:sz w:val="20"/>
          <w:szCs w:val="24"/>
          <w14:ligatures w14:val="standardContextual"/>
        </w:rPr>
        <w:t xml:space="preserve"> plus the land off Hog Lane outstanding </w:t>
      </w:r>
      <w:proofErr w:type="gramStart"/>
      <w:r w:rsidRPr="00500575">
        <w:rPr>
          <w:rFonts w:ascii="Calibri" w:eastAsia="Calibri" w:hAnsi="Calibri" w:cs="Calibri"/>
          <w:color w:val="EE0000"/>
          <w:kern w:val="2"/>
          <w:sz w:val="20"/>
          <w:szCs w:val="24"/>
          <w14:ligatures w14:val="standardContextual"/>
        </w:rPr>
        <w:t>at the moment</w:t>
      </w:r>
      <w:proofErr w:type="gramEnd"/>
      <w:r w:rsidRPr="00500575">
        <w:rPr>
          <w:rFonts w:ascii="Calibri" w:eastAsia="Calibri" w:hAnsi="Calibri" w:cs="Calibri"/>
          <w:color w:val="EE0000"/>
          <w:kern w:val="2"/>
          <w:sz w:val="20"/>
          <w:szCs w:val="24"/>
          <w14:ligatures w14:val="standardContextual"/>
        </w:rPr>
        <w:t xml:space="preserve">, The NP would assist us in both these cases. </w:t>
      </w:r>
      <w:r w:rsidRPr="00500575">
        <w:rPr>
          <w:rFonts w:ascii="Calibri" w:eastAsia="Calibri" w:hAnsi="Calibri" w:cs="Calibri"/>
          <w:color w:val="000000"/>
          <w:kern w:val="2"/>
          <w:sz w:val="20"/>
          <w:szCs w:val="24"/>
          <w14:ligatures w14:val="standardContextual"/>
        </w:rPr>
        <w:t xml:space="preserve">There is inconsistency of approach between the NP documents, the Design Annex heavily references the emerging Local Plan. </w:t>
      </w:r>
      <w:r w:rsidRPr="00500575">
        <w:rPr>
          <w:rFonts w:ascii="Calibri" w:eastAsia="Calibri" w:hAnsi="Calibri" w:cs="Calibri"/>
          <w:color w:val="EE0000"/>
          <w:kern w:val="2"/>
          <w:sz w:val="20"/>
          <w:szCs w:val="24"/>
          <w14:ligatures w14:val="standardContextual"/>
        </w:rPr>
        <w:t>Disagree</w:t>
      </w:r>
    </w:p>
    <w:p w14:paraId="4035D78A"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At the meeting Peter Fleet and I had with Roger Watts and Rob Youngs on 15</w:t>
      </w:r>
      <w:r w:rsidRPr="00500575">
        <w:rPr>
          <w:rFonts w:ascii="Calibri" w:eastAsia="Calibri" w:hAnsi="Calibri" w:cs="Calibri"/>
          <w:color w:val="000000"/>
          <w:kern w:val="2"/>
          <w:sz w:val="18"/>
          <w:szCs w:val="24"/>
          <w:vertAlign w:val="superscript"/>
          <w14:ligatures w14:val="standardContextual"/>
        </w:rPr>
        <w:t>th</w:t>
      </w:r>
      <w:r w:rsidRPr="00500575">
        <w:rPr>
          <w:rFonts w:ascii="Calibri" w:eastAsia="Calibri" w:hAnsi="Calibri" w:cs="Calibri"/>
          <w:color w:val="000000"/>
          <w:kern w:val="2"/>
          <w:sz w:val="20"/>
          <w:szCs w:val="24"/>
          <w14:ligatures w14:val="standardContextual"/>
        </w:rPr>
        <w:t xml:space="preserve"> March 2026 it was stated that any sites in the NP that were deemed ‘unsuitable’ in the Bucks Local Plan would be removed from the NP.  Rob Youngs also commented that other sites that bordered those designated ‘unsuitable’ would likely be taken out given similar criteria for ‘unsuitable’ would probably apply to these sites as well.  We were also told that Site 5 would have a qualification raised against it, given the acknowledged access and view issues.  When I asked for confirmation from Rob Youngs on 6th May 2026 that this was the case, he replied the sites in question </w:t>
      </w:r>
      <w:r w:rsidRPr="00500575">
        <w:rPr>
          <w:rFonts w:ascii="Calibri" w:eastAsia="Calibri" w:hAnsi="Calibri" w:cs="Calibri"/>
          <w:color w:val="000000"/>
          <w:kern w:val="2"/>
          <w:sz w:val="20"/>
          <w:szCs w:val="24"/>
          <w14:ligatures w14:val="standardContextual"/>
        </w:rPr>
        <w:lastRenderedPageBreak/>
        <w:t xml:space="preserve">remained in but that the following wording would be included: “It is noted that Buckinghamshire Council have deemed Sites 9 and 10, in their Call for Sites, being unsuitable due to access and out of character.  Further it is also noted that Buckinghamshire Council classified Sites 11-14 as suitability unconfirmed, further assessment required”.  There is no reference of either in the NP or GB study.  The qualification for the former resides in the Consultation Document, which cannot be used when assessing future planning applications. </w:t>
      </w:r>
      <w:r w:rsidRPr="00500575">
        <w:rPr>
          <w:rFonts w:ascii="Calibri" w:eastAsia="Calibri" w:hAnsi="Calibri" w:cs="Calibri"/>
          <w:b/>
          <w:color w:val="000000"/>
          <w:kern w:val="2"/>
          <w:sz w:val="20"/>
          <w:szCs w:val="24"/>
          <w14:ligatures w14:val="standardContextual"/>
        </w:rPr>
        <w:t>Sites 5, 9 &amp; 10 should be removed from the NP</w:t>
      </w:r>
      <w:r w:rsidRPr="00500575">
        <w:rPr>
          <w:rFonts w:ascii="Calibri" w:eastAsia="Calibri" w:hAnsi="Calibri" w:cs="Calibri"/>
          <w:color w:val="000000"/>
          <w:kern w:val="2"/>
          <w:sz w:val="20"/>
          <w:szCs w:val="24"/>
          <w14:ligatures w14:val="standardContextual"/>
        </w:rPr>
        <w:t xml:space="preserve">. </w:t>
      </w:r>
      <w:r w:rsidRPr="00500575">
        <w:rPr>
          <w:rFonts w:ascii="Calibri" w:eastAsia="Calibri" w:hAnsi="Calibri" w:cs="Calibri"/>
          <w:color w:val="EE0000"/>
          <w:kern w:val="2"/>
          <w:sz w:val="20"/>
          <w:szCs w:val="24"/>
          <w14:ligatures w14:val="standardContextual"/>
        </w:rPr>
        <w:t>No justification to remove these sites. The meeting was purely an informal meeting to discuss issues and not make policy. There is no requirement to make any comments on those sites, certainly not policy, this was written to appease residents. The Comments on sites 9 &amp; 10 are already in the public domain, so to add them was superfluous, but they were still added to appease residents.</w:t>
      </w:r>
    </w:p>
    <w:p w14:paraId="6C9A963B"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The criteria for assessing transport links cannot be disregarded based on opinions of future viability of the service.  This is a legal point, if the transport link existed at the time of the review and drafting of the NP and remains in place at </w:t>
      </w:r>
      <w:proofErr w:type="spellStart"/>
      <w:proofErr w:type="gramStart"/>
      <w:r w:rsidRPr="00500575">
        <w:rPr>
          <w:rFonts w:ascii="Calibri" w:eastAsia="Calibri" w:hAnsi="Calibri" w:cs="Calibri"/>
          <w:color w:val="000000"/>
          <w:kern w:val="2"/>
          <w:sz w:val="20"/>
          <w:szCs w:val="24"/>
          <w14:ligatures w14:val="standardContextual"/>
        </w:rPr>
        <w:t>it’s</w:t>
      </w:r>
      <w:proofErr w:type="spellEnd"/>
      <w:proofErr w:type="gramEnd"/>
      <w:r w:rsidRPr="00500575">
        <w:rPr>
          <w:rFonts w:ascii="Calibri" w:eastAsia="Calibri" w:hAnsi="Calibri" w:cs="Calibri"/>
          <w:color w:val="000000"/>
          <w:kern w:val="2"/>
          <w:sz w:val="20"/>
          <w:szCs w:val="24"/>
          <w14:ligatures w14:val="standardContextual"/>
        </w:rPr>
        <w:t xml:space="preserve"> adoption, WH sites identified in the July GB should be retained in the May 2026 NP and Grey Belt </w:t>
      </w:r>
      <w:proofErr w:type="gramStart"/>
      <w:r w:rsidRPr="00500575">
        <w:rPr>
          <w:rFonts w:ascii="Calibri" w:eastAsia="Calibri" w:hAnsi="Calibri" w:cs="Calibri"/>
          <w:color w:val="000000"/>
          <w:kern w:val="2"/>
          <w:sz w:val="20"/>
          <w:szCs w:val="24"/>
          <w14:ligatures w14:val="standardContextual"/>
        </w:rPr>
        <w:t>Study, and</w:t>
      </w:r>
      <w:proofErr w:type="gramEnd"/>
      <w:r w:rsidRPr="00500575">
        <w:rPr>
          <w:rFonts w:ascii="Calibri" w:eastAsia="Calibri" w:hAnsi="Calibri" w:cs="Calibri"/>
          <w:color w:val="000000"/>
          <w:kern w:val="2"/>
          <w:sz w:val="20"/>
          <w:szCs w:val="24"/>
          <w14:ligatures w14:val="standardContextual"/>
        </w:rPr>
        <w:t xml:space="preserve"> not excluded. </w:t>
      </w:r>
      <w:r w:rsidRPr="00500575">
        <w:rPr>
          <w:rFonts w:ascii="Calibri" w:eastAsia="Calibri" w:hAnsi="Calibri" w:cs="Calibri"/>
          <w:color w:val="EE0000"/>
          <w:kern w:val="2"/>
          <w:sz w:val="20"/>
          <w:szCs w:val="24"/>
          <w14:ligatures w14:val="standardContextual"/>
        </w:rPr>
        <w:t>The reliability of the WH bus service could not be confirmed at the time of the study. It was not just about buses but other issues as well. The residents of WH put forward many good technical arguments</w:t>
      </w:r>
    </w:p>
    <w:p w14:paraId="0182521E"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b/>
          <w:color w:val="000000"/>
          <w:kern w:val="2"/>
          <w:sz w:val="20"/>
          <w:szCs w:val="24"/>
          <w14:ligatures w14:val="standardContextual"/>
        </w:rPr>
        <w:t xml:space="preserve">NP contradictions.  </w:t>
      </w:r>
      <w:r w:rsidRPr="00500575">
        <w:rPr>
          <w:rFonts w:ascii="Calibri" w:eastAsia="Calibri" w:hAnsi="Calibri" w:cs="Calibri"/>
          <w:color w:val="000000"/>
          <w:kern w:val="2"/>
          <w:sz w:val="20"/>
          <w:szCs w:val="24"/>
          <w14:ligatures w14:val="standardContextual"/>
        </w:rPr>
        <w:t xml:space="preserve">The NP contradicts the Buck’s current Local Plan, which is in consultation.  There are sites in the NP which are deemed ‘unsuitable’ by Bucks and sites included in the Bucks LP which are listed as needing further assessment which are not in the NP.   </w:t>
      </w:r>
      <w:r w:rsidRPr="00500575">
        <w:rPr>
          <w:rFonts w:ascii="Calibri" w:eastAsia="Calibri" w:hAnsi="Calibri" w:cs="Calibri"/>
          <w:color w:val="EE0000"/>
          <w:kern w:val="2"/>
          <w:sz w:val="20"/>
          <w:szCs w:val="24"/>
          <w14:ligatures w14:val="standardContextual"/>
        </w:rPr>
        <w:t>No contradiction, different analysis. Our study much more granular.</w:t>
      </w:r>
    </w:p>
    <w:p w14:paraId="7F9505F6" w14:textId="77777777" w:rsidR="00500575" w:rsidRPr="00500575" w:rsidRDefault="00500575" w:rsidP="00500575">
      <w:pPr>
        <w:spacing w:after="168" w:line="268" w:lineRule="auto"/>
        <w:ind w:left="-5" w:hanging="10"/>
        <w:rPr>
          <w:rFonts w:ascii="Calibri" w:eastAsia="Calibri" w:hAnsi="Calibri" w:cs="Calibri"/>
          <w:color w:val="FF0000"/>
          <w:kern w:val="2"/>
          <w:sz w:val="20"/>
          <w:szCs w:val="24"/>
          <w14:ligatures w14:val="standardContextual"/>
        </w:rPr>
      </w:pPr>
      <w:r w:rsidRPr="00500575">
        <w:rPr>
          <w:rFonts w:ascii="Calibri" w:eastAsia="Calibri" w:hAnsi="Calibri" w:cs="Calibri"/>
          <w:color w:val="000000"/>
          <w:kern w:val="2"/>
          <w:sz w:val="20"/>
          <w:szCs w:val="24"/>
          <w14:ligatures w14:val="standardContextual"/>
        </w:rPr>
        <w:t>In addition, the PC’s Planning Committee objected to the planning application for site 15 in the NP on 13</w:t>
      </w:r>
      <w:r w:rsidRPr="00500575">
        <w:rPr>
          <w:rFonts w:ascii="Calibri" w:eastAsia="Calibri" w:hAnsi="Calibri" w:cs="Calibri"/>
          <w:color w:val="000000"/>
          <w:kern w:val="2"/>
          <w:sz w:val="18"/>
          <w:szCs w:val="24"/>
          <w:vertAlign w:val="superscript"/>
          <w14:ligatures w14:val="standardContextual"/>
        </w:rPr>
        <w:t>th</w:t>
      </w:r>
      <w:r w:rsidRPr="00500575">
        <w:rPr>
          <w:rFonts w:ascii="Calibri" w:eastAsia="Calibri" w:hAnsi="Calibri" w:cs="Calibri"/>
          <w:color w:val="000000"/>
          <w:kern w:val="2"/>
          <w:sz w:val="20"/>
          <w:szCs w:val="24"/>
          <w14:ligatures w14:val="standardContextual"/>
        </w:rPr>
        <w:t xml:space="preserve"> April 2026 (PL/26?00847/FA) citing access issues and an indication that any proposal to reposition or remove the village signs and gates would be opposed, raising the question why it is included in the </w:t>
      </w:r>
      <w:r w:rsidRPr="00500575">
        <w:rPr>
          <w:rFonts w:ascii="Calibri" w:eastAsia="Calibri" w:hAnsi="Calibri" w:cs="Calibri"/>
          <w:kern w:val="2"/>
          <w:sz w:val="20"/>
          <w:szCs w:val="24"/>
          <w14:ligatures w14:val="standardContextual"/>
        </w:rPr>
        <w:t>NP</w:t>
      </w:r>
      <w:r w:rsidRPr="00500575">
        <w:rPr>
          <w:rFonts w:ascii="Calibri" w:eastAsia="Calibri" w:hAnsi="Calibri" w:cs="Calibri"/>
          <w:color w:val="EE0000"/>
          <w:kern w:val="2"/>
          <w:sz w:val="20"/>
          <w:szCs w:val="24"/>
          <w14:ligatures w14:val="standardContextual"/>
        </w:rPr>
        <w:t>.</w:t>
      </w:r>
      <w:r w:rsidRPr="00500575">
        <w:rPr>
          <w:rFonts w:ascii="Calibri" w:eastAsia="Calibri" w:hAnsi="Calibri" w:cs="Calibri"/>
          <w:color w:val="000000"/>
          <w:kern w:val="2"/>
          <w:sz w:val="20"/>
          <w:szCs w:val="24"/>
          <w14:ligatures w14:val="standardContextual"/>
        </w:rPr>
        <w:t xml:space="preserve"> This site is opposite the road into </w:t>
      </w:r>
      <w:proofErr w:type="spellStart"/>
      <w:r w:rsidRPr="00500575">
        <w:rPr>
          <w:rFonts w:ascii="Calibri" w:eastAsia="Calibri" w:hAnsi="Calibri" w:cs="Calibri"/>
          <w:color w:val="000000"/>
          <w:kern w:val="2"/>
          <w:sz w:val="20"/>
          <w:szCs w:val="24"/>
          <w14:ligatures w14:val="standardContextual"/>
        </w:rPr>
        <w:t>Flamstead</w:t>
      </w:r>
      <w:proofErr w:type="spellEnd"/>
      <w:r w:rsidRPr="00500575">
        <w:rPr>
          <w:rFonts w:ascii="Calibri" w:eastAsia="Calibri" w:hAnsi="Calibri" w:cs="Calibri"/>
          <w:color w:val="000000"/>
          <w:kern w:val="2"/>
          <w:sz w:val="20"/>
          <w:szCs w:val="24"/>
          <w14:ligatures w14:val="standardContextual"/>
        </w:rPr>
        <w:t xml:space="preserve"> Farm, which has access on the A146.   </w:t>
      </w:r>
      <w:r w:rsidRPr="00500575">
        <w:rPr>
          <w:rFonts w:ascii="Calibri" w:eastAsia="Calibri" w:hAnsi="Calibri" w:cs="Calibri"/>
          <w:color w:val="FF0000"/>
          <w:kern w:val="2"/>
          <w:sz w:val="20"/>
          <w:szCs w:val="24"/>
          <w14:ligatures w14:val="standardContextual"/>
        </w:rPr>
        <w:t>The planning committee comments are before the NP is in place. Street furniture was not an issue in the NP</w:t>
      </w:r>
    </w:p>
    <w:p w14:paraId="1312AFFF" w14:textId="77777777" w:rsidR="00500575" w:rsidRPr="00500575" w:rsidRDefault="00500575" w:rsidP="00500575">
      <w:pPr>
        <w:spacing w:after="176" w:line="256" w:lineRule="auto"/>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 </w:t>
      </w:r>
    </w:p>
    <w:p w14:paraId="4EF691CB" w14:textId="77777777" w:rsidR="00500575" w:rsidRPr="00500575" w:rsidRDefault="00500575" w:rsidP="00500575">
      <w:pPr>
        <w:keepNext/>
        <w:keepLines/>
        <w:spacing w:after="178" w:line="256" w:lineRule="auto"/>
        <w:ind w:left="-5" w:hanging="10"/>
        <w:outlineLvl w:val="0"/>
        <w:rPr>
          <w:rFonts w:ascii="Calibri" w:eastAsia="Calibri" w:hAnsi="Calibri" w:cs="Calibri"/>
          <w:b/>
          <w:color w:val="000000"/>
          <w:kern w:val="2"/>
          <w:sz w:val="20"/>
          <w:szCs w:val="24"/>
          <w:u w:val="single" w:color="000000"/>
          <w14:ligatures w14:val="standardContextual"/>
        </w:rPr>
      </w:pPr>
      <w:r w:rsidRPr="00500575">
        <w:rPr>
          <w:rFonts w:ascii="Calibri" w:eastAsia="Calibri" w:hAnsi="Calibri" w:cs="Calibri"/>
          <w:b/>
          <w:color w:val="000000"/>
          <w:kern w:val="2"/>
          <w:sz w:val="20"/>
          <w:szCs w:val="24"/>
          <w:u w:val="single" w:color="000000"/>
          <w14:ligatures w14:val="standardContextual"/>
        </w:rPr>
        <w:t>Specific document questions</w:t>
      </w:r>
      <w:r w:rsidRPr="00500575">
        <w:rPr>
          <w:rFonts w:ascii="Calibri" w:eastAsia="Calibri" w:hAnsi="Calibri" w:cs="Calibri"/>
          <w:b/>
          <w:color w:val="000000"/>
          <w:kern w:val="2"/>
          <w:sz w:val="20"/>
          <w:szCs w:val="24"/>
          <w:u w:color="000000"/>
          <w14:ligatures w14:val="standardContextual"/>
        </w:rPr>
        <w:t xml:space="preserve"> </w:t>
      </w:r>
    </w:p>
    <w:p w14:paraId="6443EF83" w14:textId="77777777" w:rsidR="00500575" w:rsidRPr="00500575" w:rsidRDefault="00500575" w:rsidP="00500575">
      <w:pPr>
        <w:keepNext/>
        <w:keepLines/>
        <w:spacing w:after="178" w:line="256" w:lineRule="auto"/>
        <w:ind w:left="-5" w:hanging="10"/>
        <w:outlineLvl w:val="1"/>
        <w:rPr>
          <w:rFonts w:ascii="Calibri" w:eastAsia="Calibri" w:hAnsi="Calibri" w:cs="Calibri"/>
          <w:b/>
          <w:color w:val="000000"/>
          <w:kern w:val="2"/>
          <w:sz w:val="20"/>
          <w:szCs w:val="24"/>
          <w14:ligatures w14:val="standardContextual"/>
        </w:rPr>
      </w:pPr>
      <w:r w:rsidRPr="00500575">
        <w:rPr>
          <w:rFonts w:ascii="Calibri" w:eastAsia="Calibri" w:hAnsi="Calibri" w:cs="Calibri"/>
          <w:b/>
          <w:color w:val="000000"/>
          <w:kern w:val="2"/>
          <w:sz w:val="20"/>
          <w:szCs w:val="24"/>
          <w14:ligatures w14:val="standardContextual"/>
        </w:rPr>
        <w:t xml:space="preserve">Final Grey Belt Study, May 2026 </w:t>
      </w:r>
    </w:p>
    <w:p w14:paraId="1D485B78"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3, para 1.10 last sentence references “four other tests”, the diagram on page shows 5. </w:t>
      </w:r>
      <w:r w:rsidRPr="00500575">
        <w:rPr>
          <w:rFonts w:ascii="Calibri" w:eastAsia="Calibri" w:hAnsi="Calibri" w:cs="Calibri"/>
          <w:color w:val="EE0000"/>
          <w:kern w:val="2"/>
          <w:sz w:val="20"/>
          <w:szCs w:val="24"/>
          <w14:ligatures w14:val="standardContextual"/>
        </w:rPr>
        <w:t>The first is covered under 1.7 4 others plus grey belt</w:t>
      </w:r>
    </w:p>
    <w:p w14:paraId="7BE9CD20"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6 para 1.19, what is the “design-related evidence completed”, I’d like to see this please. </w:t>
      </w:r>
      <w:r w:rsidRPr="00500575">
        <w:rPr>
          <w:rFonts w:ascii="Calibri" w:eastAsia="Calibri" w:hAnsi="Calibri" w:cs="Calibri"/>
          <w:color w:val="EE0000"/>
          <w:kern w:val="2"/>
          <w:sz w:val="20"/>
          <w:szCs w:val="24"/>
          <w14:ligatures w14:val="standardContextual"/>
        </w:rPr>
        <w:t>Detailed in the Design Annex</w:t>
      </w:r>
    </w:p>
    <w:p w14:paraId="536F5037"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Page 6, para 2.1 2, if all land in the Parish is Grey Belt, can you clarify “any draft Local Plan proposals to release land from the Green Belt</w:t>
      </w:r>
      <w:proofErr w:type="gramStart"/>
      <w:r w:rsidRPr="00500575">
        <w:rPr>
          <w:rFonts w:ascii="Calibri" w:eastAsia="Calibri" w:hAnsi="Calibri" w:cs="Calibri"/>
          <w:color w:val="000000"/>
          <w:kern w:val="2"/>
          <w:sz w:val="20"/>
          <w:szCs w:val="24"/>
          <w14:ligatures w14:val="standardContextual"/>
        </w:rPr>
        <w:t>…..</w:t>
      </w:r>
      <w:proofErr w:type="gramEnd"/>
      <w:r w:rsidRPr="00500575">
        <w:rPr>
          <w:rFonts w:ascii="Calibri" w:eastAsia="Calibri" w:hAnsi="Calibri" w:cs="Calibri"/>
          <w:color w:val="000000"/>
          <w:kern w:val="2"/>
          <w:sz w:val="20"/>
          <w:szCs w:val="24"/>
          <w14:ligatures w14:val="standardContextual"/>
        </w:rPr>
        <w:t xml:space="preserve">”. </w:t>
      </w:r>
      <w:r w:rsidRPr="00500575">
        <w:rPr>
          <w:rFonts w:ascii="Calibri" w:eastAsia="Calibri" w:hAnsi="Calibri" w:cs="Calibri"/>
          <w:color w:val="EE0000"/>
          <w:kern w:val="2"/>
          <w:sz w:val="20"/>
          <w:szCs w:val="24"/>
          <w14:ligatures w14:val="standardContextual"/>
        </w:rPr>
        <w:t>The issue is to provide evidence for any future proposals. The LP is not settled.</w:t>
      </w:r>
    </w:p>
    <w:p w14:paraId="7065371A"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9, para 4.5 second bullet point, what evidence is the following sentence based on: “though the </w:t>
      </w:r>
      <w:proofErr w:type="gramStart"/>
      <w:r w:rsidRPr="00500575">
        <w:rPr>
          <w:rFonts w:ascii="Calibri" w:eastAsia="Calibri" w:hAnsi="Calibri" w:cs="Calibri"/>
          <w:color w:val="000000"/>
          <w:kern w:val="2"/>
          <w:sz w:val="20"/>
          <w:szCs w:val="24"/>
          <w14:ligatures w14:val="standardContextual"/>
        </w:rPr>
        <w:t>longer term</w:t>
      </w:r>
      <w:proofErr w:type="gramEnd"/>
      <w:r w:rsidRPr="00500575">
        <w:rPr>
          <w:rFonts w:ascii="Calibri" w:eastAsia="Calibri" w:hAnsi="Calibri" w:cs="Calibri"/>
          <w:color w:val="000000"/>
          <w:kern w:val="2"/>
          <w:sz w:val="20"/>
          <w:szCs w:val="24"/>
          <w14:ligatures w14:val="standardContextual"/>
        </w:rPr>
        <w:t xml:space="preserve"> future of this service is uncertain”.  </w:t>
      </w:r>
      <w:r w:rsidRPr="00500575">
        <w:rPr>
          <w:rFonts w:ascii="Calibri" w:eastAsia="Calibri" w:hAnsi="Calibri" w:cs="Calibri"/>
          <w:color w:val="EE0000"/>
          <w:kern w:val="2"/>
          <w:sz w:val="20"/>
          <w:szCs w:val="24"/>
          <w14:ligatures w14:val="standardContextual"/>
        </w:rPr>
        <w:t>As this new rural bus service has been only running for 9 months, it is reasonable to regard it as not yet established, although there are no specific guidelines, it was ONH’s view from their considerable experience.</w:t>
      </w:r>
    </w:p>
    <w:p w14:paraId="75FFDA93"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12, para 4.16, it is not for the Steering Group and/or ONH to dismiss the WH sites based on their view of the future of the bus route.  If a schedule existed at the time of, and during, the assessment the sites identified by the designated criteria in Whelpley Hill they should remain in the NP.  The same concern could be said about AG, this too is a rural </w:t>
      </w:r>
      <w:proofErr w:type="gramStart"/>
      <w:r w:rsidRPr="00500575">
        <w:rPr>
          <w:rFonts w:ascii="Calibri" w:eastAsia="Calibri" w:hAnsi="Calibri" w:cs="Calibri"/>
          <w:color w:val="000000"/>
          <w:kern w:val="2"/>
          <w:sz w:val="20"/>
          <w:szCs w:val="24"/>
          <w14:ligatures w14:val="standardContextual"/>
        </w:rPr>
        <w:t>area</w:t>
      </w:r>
      <w:proofErr w:type="gramEnd"/>
      <w:r w:rsidRPr="00500575">
        <w:rPr>
          <w:rFonts w:ascii="Calibri" w:eastAsia="Calibri" w:hAnsi="Calibri" w:cs="Calibri"/>
          <w:color w:val="000000"/>
          <w:kern w:val="2"/>
          <w:sz w:val="20"/>
          <w:szCs w:val="24"/>
          <w14:ligatures w14:val="standardContextual"/>
        </w:rPr>
        <w:t xml:space="preserve"> and the same logic could be applied to the viability of those services.  This is a subjective view and not one based on facts. </w:t>
      </w:r>
      <w:r w:rsidRPr="00500575">
        <w:rPr>
          <w:rFonts w:ascii="Calibri" w:eastAsia="Calibri" w:hAnsi="Calibri" w:cs="Calibri"/>
          <w:color w:val="EE0000"/>
          <w:kern w:val="2"/>
          <w:sz w:val="20"/>
          <w:szCs w:val="24"/>
          <w14:ligatures w14:val="standardContextual"/>
        </w:rPr>
        <w:t>The AG bus service is very much established, ultimately the Inspector will decide.</w:t>
      </w:r>
    </w:p>
    <w:p w14:paraId="73713C99"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lastRenderedPageBreak/>
        <w:t xml:space="preserve">Page 16, para 5.3, on what basis is “approx. 22 homes” based on?  The Directorate for Planning, Growth &amp; Sustainability’s response to the Steering Group dated 30/1/2026 states: “However, it is up to you how you want to arrive at an indicative figure”.  Rationale needs to be provided why 22 is considered an appropriate figure.  In the earlier drafts it was 31 houses based on 16 from AG and 15 from WH, 10% of each village’s housing stock. </w:t>
      </w:r>
    </w:p>
    <w:p w14:paraId="5A2EBBE2"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 xml:space="preserve">The 22 over 10 years (44 over 20 years) was provided as indicative housing figures by Bucks and that seemed reasonable and aligns us with Bucks current thoughts on the matter.  </w:t>
      </w:r>
    </w:p>
    <w:p w14:paraId="4DEAA225"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p>
    <w:p w14:paraId="3D5B4580"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5.4, paras 1-3, given the above I do not agree with the points 1-3. </w:t>
      </w:r>
    </w:p>
    <w:p w14:paraId="71861417"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Page 16. Noted</w:t>
      </w:r>
    </w:p>
    <w:p w14:paraId="3FBDB955" w14:textId="77777777" w:rsidR="00500575" w:rsidRPr="00500575" w:rsidRDefault="00500575" w:rsidP="00500575">
      <w:pPr>
        <w:spacing w:after="176" w:line="256" w:lineRule="auto"/>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 </w:t>
      </w:r>
    </w:p>
    <w:p w14:paraId="6C7BB8D5" w14:textId="77777777" w:rsidR="00500575" w:rsidRPr="00500575" w:rsidRDefault="00500575" w:rsidP="00500575">
      <w:pPr>
        <w:keepNext/>
        <w:keepLines/>
        <w:spacing w:after="178" w:line="256" w:lineRule="auto"/>
        <w:ind w:left="-5" w:hanging="10"/>
        <w:outlineLvl w:val="1"/>
        <w:rPr>
          <w:rFonts w:ascii="Calibri" w:eastAsia="Calibri" w:hAnsi="Calibri" w:cs="Calibri"/>
          <w:b/>
          <w:color w:val="000000"/>
          <w:kern w:val="2"/>
          <w:sz w:val="20"/>
          <w:szCs w:val="24"/>
          <w14:ligatures w14:val="standardContextual"/>
        </w:rPr>
      </w:pPr>
      <w:r w:rsidRPr="00500575">
        <w:rPr>
          <w:rFonts w:ascii="Calibri" w:eastAsia="Calibri" w:hAnsi="Calibri" w:cs="Calibri"/>
          <w:b/>
          <w:color w:val="000000"/>
          <w:kern w:val="2"/>
          <w:sz w:val="20"/>
          <w:szCs w:val="24"/>
          <w14:ligatures w14:val="standardContextual"/>
        </w:rPr>
        <w:t xml:space="preserve">Neighbourhood Plan 2026-2036 </w:t>
      </w:r>
    </w:p>
    <w:p w14:paraId="616EC41B"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6, para 2.10, the NP has been drafted based on the 1997 Chiltern District Local Plan and Chiltern District Core Strategy, adopted 2011.  The Grey Belt Study references the new draft Bucks Local Plan (next iteration due out July 2026, with the final document targeted to be published Dec 2026), page 4 para 1.15, page 6 para 2.1.2. </w:t>
      </w:r>
    </w:p>
    <w:p w14:paraId="71661C0B"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Noted</w:t>
      </w:r>
    </w:p>
    <w:p w14:paraId="754EC2D6"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7, para 2.11, last sentence, it is incorrect to say the Local Plan is at an early stage, see comments above, this needs amending. </w:t>
      </w:r>
      <w:r w:rsidRPr="00500575">
        <w:rPr>
          <w:rFonts w:ascii="Calibri" w:eastAsia="Calibri" w:hAnsi="Calibri" w:cs="Calibri"/>
          <w:color w:val="EE0000"/>
          <w:kern w:val="2"/>
          <w:sz w:val="20"/>
          <w:szCs w:val="24"/>
          <w14:ligatures w14:val="standardContextual"/>
        </w:rPr>
        <w:t>Disagree I take view it is at an early stage</w:t>
      </w:r>
    </w:p>
    <w:p w14:paraId="69957ADC"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7 para 2.12, it is incorrect to state BC’s approach to housing targets “does not heavily rely on small villages”, statements from Council leaders and documents released from Bucks CC indicate that Bucks will not be looking to villages as contributors to the overall housing target figure. </w:t>
      </w:r>
      <w:r w:rsidRPr="00500575">
        <w:rPr>
          <w:rFonts w:ascii="Calibri" w:eastAsia="Calibri" w:hAnsi="Calibri" w:cs="Calibri"/>
          <w:color w:val="EE0000"/>
          <w:kern w:val="2"/>
          <w:sz w:val="20"/>
          <w:szCs w:val="24"/>
          <w14:ligatures w14:val="standardContextual"/>
        </w:rPr>
        <w:t xml:space="preserve">Ashley Green is shown as being grey belt by Bucks. That’s in their </w:t>
      </w:r>
      <w:proofErr w:type="gramStart"/>
      <w:r w:rsidRPr="00500575">
        <w:rPr>
          <w:rFonts w:ascii="Calibri" w:eastAsia="Calibri" w:hAnsi="Calibri" w:cs="Calibri"/>
          <w:color w:val="EE0000"/>
          <w:kern w:val="2"/>
          <w:sz w:val="20"/>
          <w:szCs w:val="24"/>
          <w14:ligatures w14:val="standardContextual"/>
        </w:rPr>
        <w:t>study,</w:t>
      </w:r>
      <w:proofErr w:type="gramEnd"/>
      <w:r w:rsidRPr="00500575">
        <w:rPr>
          <w:rFonts w:ascii="Calibri" w:eastAsia="Calibri" w:hAnsi="Calibri" w:cs="Calibri"/>
          <w:color w:val="EE0000"/>
          <w:kern w:val="2"/>
          <w:sz w:val="20"/>
          <w:szCs w:val="24"/>
          <w14:ligatures w14:val="standardContextual"/>
        </w:rPr>
        <w:t xml:space="preserve"> the statements are not.</w:t>
      </w:r>
    </w:p>
    <w:p w14:paraId="26973226"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9 para 2.16 states the first version of the Grey Belt Study was completed in August 2025, the one I printed </w:t>
      </w:r>
      <w:proofErr w:type="spellStart"/>
      <w:r w:rsidRPr="00500575">
        <w:rPr>
          <w:rFonts w:ascii="Calibri" w:eastAsia="Calibri" w:hAnsi="Calibri" w:cs="Calibri"/>
          <w:color w:val="000000"/>
          <w:kern w:val="2"/>
          <w:sz w:val="20"/>
          <w:szCs w:val="24"/>
          <w14:ligatures w14:val="standardContextual"/>
        </w:rPr>
        <w:t>oO</w:t>
      </w:r>
      <w:proofErr w:type="spellEnd"/>
      <w:r w:rsidRPr="00500575">
        <w:rPr>
          <w:rFonts w:ascii="Calibri" w:eastAsia="Calibri" w:hAnsi="Calibri" w:cs="Calibri"/>
          <w:color w:val="000000"/>
          <w:kern w:val="2"/>
          <w:sz w:val="20"/>
          <w:szCs w:val="24"/>
          <w14:ligatures w14:val="standardContextual"/>
        </w:rPr>
        <w:t xml:space="preserve"> states July 2025.  If there was another one completed in </w:t>
      </w:r>
      <w:proofErr w:type="gramStart"/>
      <w:r w:rsidRPr="00500575">
        <w:rPr>
          <w:rFonts w:ascii="Calibri" w:eastAsia="Calibri" w:hAnsi="Calibri" w:cs="Calibri"/>
          <w:color w:val="000000"/>
          <w:kern w:val="2"/>
          <w:sz w:val="20"/>
          <w:szCs w:val="24"/>
          <w14:ligatures w14:val="standardContextual"/>
        </w:rPr>
        <w:t>August</w:t>
      </w:r>
      <w:proofErr w:type="gramEnd"/>
      <w:r w:rsidRPr="00500575">
        <w:rPr>
          <w:rFonts w:ascii="Calibri" w:eastAsia="Calibri" w:hAnsi="Calibri" w:cs="Calibri"/>
          <w:color w:val="000000"/>
          <w:kern w:val="2"/>
          <w:sz w:val="20"/>
          <w:szCs w:val="24"/>
          <w14:ligatures w14:val="standardContextual"/>
        </w:rPr>
        <w:t xml:space="preserve"> can I have a copy of that </w:t>
      </w:r>
      <w:proofErr w:type="gramStart"/>
      <w:r w:rsidRPr="00500575">
        <w:rPr>
          <w:rFonts w:ascii="Calibri" w:eastAsia="Calibri" w:hAnsi="Calibri" w:cs="Calibri"/>
          <w:color w:val="000000"/>
          <w:kern w:val="2"/>
          <w:sz w:val="20"/>
          <w:szCs w:val="24"/>
          <w14:ligatures w14:val="standardContextual"/>
        </w:rPr>
        <w:t>one</w:t>
      </w:r>
      <w:proofErr w:type="gramEnd"/>
      <w:r w:rsidRPr="00500575">
        <w:rPr>
          <w:rFonts w:ascii="Calibri" w:eastAsia="Calibri" w:hAnsi="Calibri" w:cs="Calibri"/>
          <w:color w:val="000000"/>
          <w:kern w:val="2"/>
          <w:sz w:val="20"/>
          <w:szCs w:val="24"/>
          <w14:ligatures w14:val="standardContextual"/>
        </w:rPr>
        <w:t xml:space="preserve"> please. – </w:t>
      </w:r>
      <w:r w:rsidRPr="00500575">
        <w:rPr>
          <w:rFonts w:ascii="Calibri" w:eastAsia="Calibri" w:hAnsi="Calibri" w:cs="Calibri"/>
          <w:color w:val="EE0000"/>
          <w:kern w:val="2"/>
          <w:sz w:val="20"/>
          <w:szCs w:val="24"/>
          <w14:ligatures w14:val="standardContextual"/>
        </w:rPr>
        <w:t>The current one is the one that matters. There was only one around that date</w:t>
      </w:r>
    </w:p>
    <w:p w14:paraId="116BA8AF"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10 Vision Statement for Ashley Green Parish, at which PC meeting was this discussed and agreed to?  Please provide me with the minutes from that meeting. </w:t>
      </w:r>
      <w:r w:rsidRPr="00500575">
        <w:rPr>
          <w:rFonts w:ascii="Calibri" w:eastAsia="Calibri" w:hAnsi="Calibri" w:cs="Calibri"/>
          <w:color w:val="EE0000"/>
          <w:kern w:val="2"/>
          <w:sz w:val="20"/>
          <w:szCs w:val="24"/>
          <w14:ligatures w14:val="standardContextual"/>
        </w:rPr>
        <w:t>Dealt with by me and SG</w:t>
      </w:r>
    </w:p>
    <w:p w14:paraId="6A3302FC"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12 Policy AGWH1 A, “22 homes”, how this total was reached needs to be explained </w:t>
      </w:r>
      <w:r w:rsidRPr="00500575">
        <w:rPr>
          <w:rFonts w:ascii="Calibri" w:eastAsia="Calibri" w:hAnsi="Calibri" w:cs="Calibri"/>
          <w:color w:val="EE0000"/>
          <w:kern w:val="2"/>
          <w:sz w:val="20"/>
          <w:szCs w:val="24"/>
          <w14:ligatures w14:val="standardContextual"/>
        </w:rPr>
        <w:t>Covered in 3.7</w:t>
      </w:r>
    </w:p>
    <w:p w14:paraId="42066D57" w14:textId="77777777" w:rsidR="00500575" w:rsidRPr="00500575" w:rsidRDefault="00500575" w:rsidP="00500575">
      <w:pPr>
        <w:spacing w:after="5"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12 para 3.7, it is potentially misleading to state “which has been provided by BC for this purpose…”. </w:t>
      </w:r>
    </w:p>
    <w:p w14:paraId="0B9D7CBF"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No target has been set by </w:t>
      </w:r>
      <w:proofErr w:type="gramStart"/>
      <w:r w:rsidRPr="00500575">
        <w:rPr>
          <w:rFonts w:ascii="Calibri" w:eastAsia="Calibri" w:hAnsi="Calibri" w:cs="Calibri"/>
          <w:color w:val="000000"/>
          <w:kern w:val="2"/>
          <w:sz w:val="20"/>
          <w:szCs w:val="24"/>
          <w14:ligatures w14:val="standardContextual"/>
        </w:rPr>
        <w:t>Bucks,</w:t>
      </w:r>
      <w:proofErr w:type="gramEnd"/>
      <w:r w:rsidRPr="00500575">
        <w:rPr>
          <w:rFonts w:ascii="Calibri" w:eastAsia="Calibri" w:hAnsi="Calibri" w:cs="Calibri"/>
          <w:color w:val="000000"/>
          <w:kern w:val="2"/>
          <w:sz w:val="20"/>
          <w:szCs w:val="24"/>
          <w14:ligatures w14:val="standardContextual"/>
        </w:rPr>
        <w:t xml:space="preserve"> this suggests it has.  As above I reiterate the following point:  The Directorate for Planning, Growth &amp; Sustainability’s response to the Steering Group dated 30/1/2026 states: “However, it is up to you how you want to arrive at an indicative figure”.  Rationale needs to be provided why 22 is considered an appropriate figure.  In the earlier drafts it was 31 houses based on 16 from AG and 15 from WH, 10% of each village’s housing stock. </w:t>
      </w:r>
    </w:p>
    <w:p w14:paraId="33C77292"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EE0000"/>
          <w:kern w:val="2"/>
          <w:sz w:val="20"/>
          <w:szCs w:val="24"/>
          <w14:ligatures w14:val="standardContextual"/>
        </w:rPr>
        <w:t>The 22 over 10 years (44 over 20 years) was provided as indicative housing figures by Bucks and that seemed reasonable and aligns us with Bucks current thoughts on the matter.  To deviate would require significant justification.</w:t>
      </w:r>
    </w:p>
    <w:p w14:paraId="058313F3"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12 para 3.8, the Grey Belt study is dated May 2026, not March 2026 as is quoted here. </w:t>
      </w:r>
      <w:r w:rsidRPr="00500575">
        <w:rPr>
          <w:rFonts w:ascii="Calibri" w:eastAsia="Calibri" w:hAnsi="Calibri" w:cs="Calibri"/>
          <w:color w:val="EE0000"/>
          <w:kern w:val="2"/>
          <w:sz w:val="20"/>
          <w:szCs w:val="24"/>
          <w14:ligatures w14:val="standardContextual"/>
        </w:rPr>
        <w:t>This should be corrected.</w:t>
      </w:r>
    </w:p>
    <w:p w14:paraId="10A0FAA4"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12 para 3.8, I reiterate the point made above, it is not for ONH and/or the Steering Group to opine on whether a bus service is “established”.  Any decision must be based on facts as they exist during the </w:t>
      </w:r>
      <w:r w:rsidRPr="00500575">
        <w:rPr>
          <w:rFonts w:ascii="Calibri" w:eastAsia="Calibri" w:hAnsi="Calibri" w:cs="Calibri"/>
          <w:color w:val="000000"/>
          <w:kern w:val="2"/>
          <w:sz w:val="20"/>
          <w:szCs w:val="24"/>
          <w14:ligatures w14:val="standardContextual"/>
        </w:rPr>
        <w:lastRenderedPageBreak/>
        <w:t xml:space="preserve">assessment and drafting period, it can’t be opinion based on what might happen in the future.  If a schedule existed at the time of, and during, the assessment the sites identified by the designated criteria in Whelpley Hill they should remain in the NP.  The same concern could be said about AG, this too is a </w:t>
      </w:r>
    </w:p>
    <w:p w14:paraId="0ABC233F"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rural area and the same logic could be applied to the viability of those services.  This is a subjective view and not one based on facts. </w:t>
      </w:r>
      <w:r w:rsidRPr="00500575">
        <w:rPr>
          <w:rFonts w:ascii="Calibri" w:eastAsia="Calibri" w:hAnsi="Calibri" w:cs="Calibri"/>
          <w:color w:val="EE0000"/>
          <w:kern w:val="2"/>
          <w:sz w:val="20"/>
          <w:szCs w:val="24"/>
          <w14:ligatures w14:val="standardContextual"/>
        </w:rPr>
        <w:t>A bus service through Ashley Green has been running since the 1960s (Google) while the WH service has been running for 9months. It was not just about the bus service</w:t>
      </w:r>
    </w:p>
    <w:p w14:paraId="6EA0EE2B"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15 para 3.16, site 5 should be discounted </w:t>
      </w:r>
      <w:proofErr w:type="gramStart"/>
      <w:r w:rsidRPr="00500575">
        <w:rPr>
          <w:rFonts w:ascii="Calibri" w:eastAsia="Calibri" w:hAnsi="Calibri" w:cs="Calibri"/>
          <w:color w:val="000000"/>
          <w:kern w:val="2"/>
          <w:sz w:val="20"/>
          <w:szCs w:val="24"/>
          <w14:ligatures w14:val="standardContextual"/>
        </w:rPr>
        <w:t>on the basis of</w:t>
      </w:r>
      <w:proofErr w:type="gramEnd"/>
      <w:r w:rsidRPr="00500575">
        <w:rPr>
          <w:rFonts w:ascii="Calibri" w:eastAsia="Calibri" w:hAnsi="Calibri" w:cs="Calibri"/>
          <w:color w:val="000000"/>
          <w:kern w:val="2"/>
          <w:sz w:val="20"/>
          <w:szCs w:val="24"/>
          <w14:ligatures w14:val="standardContextual"/>
        </w:rPr>
        <w:t xml:space="preserve"> policy AGWH4. </w:t>
      </w:r>
      <w:r w:rsidRPr="00500575">
        <w:rPr>
          <w:rFonts w:ascii="Calibri" w:eastAsia="Calibri" w:hAnsi="Calibri" w:cs="Calibri"/>
          <w:color w:val="EE0000"/>
          <w:kern w:val="2"/>
          <w:sz w:val="20"/>
          <w:szCs w:val="24"/>
          <w14:ligatures w14:val="standardContextual"/>
        </w:rPr>
        <w:t>That is not what is says, any proposed development on Site 5 would have to consider the view and vista, which is what we wrote in the Consultation Document. 3.16 is general commentary.</w:t>
      </w:r>
    </w:p>
    <w:p w14:paraId="2EDDCFFF" w14:textId="77777777" w:rsidR="00500575" w:rsidRPr="00500575" w:rsidRDefault="00500575" w:rsidP="00500575">
      <w:pPr>
        <w:spacing w:after="176" w:line="256" w:lineRule="auto"/>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 </w:t>
      </w:r>
    </w:p>
    <w:p w14:paraId="0E814487" w14:textId="77777777" w:rsidR="00500575" w:rsidRPr="00500575" w:rsidRDefault="00500575" w:rsidP="00500575">
      <w:pPr>
        <w:keepNext/>
        <w:keepLines/>
        <w:spacing w:after="178" w:line="256" w:lineRule="auto"/>
        <w:ind w:left="-5" w:hanging="10"/>
        <w:outlineLvl w:val="1"/>
        <w:rPr>
          <w:rFonts w:ascii="Calibri" w:eastAsia="Calibri" w:hAnsi="Calibri" w:cs="Calibri"/>
          <w:b/>
          <w:color w:val="000000"/>
          <w:kern w:val="2"/>
          <w:sz w:val="20"/>
          <w:szCs w:val="24"/>
          <w14:ligatures w14:val="standardContextual"/>
        </w:rPr>
      </w:pPr>
      <w:r w:rsidRPr="00500575">
        <w:rPr>
          <w:rFonts w:ascii="Calibri" w:eastAsia="Calibri" w:hAnsi="Calibri" w:cs="Calibri"/>
          <w:b/>
          <w:color w:val="000000"/>
          <w:kern w:val="2"/>
          <w:sz w:val="20"/>
          <w:szCs w:val="24"/>
          <w14:ligatures w14:val="standardContextual"/>
        </w:rPr>
        <w:t xml:space="preserve">AGP NP May 2026 Regulation 14 Consultation Statement (2026) </w:t>
      </w:r>
    </w:p>
    <w:p w14:paraId="102EAF2F"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Do Bucks CC receive the comments residents made in full, rather than a summarised version? </w:t>
      </w:r>
      <w:r w:rsidRPr="00500575">
        <w:rPr>
          <w:rFonts w:ascii="Calibri" w:eastAsia="Calibri" w:hAnsi="Calibri" w:cs="Calibri"/>
          <w:color w:val="EE0000"/>
          <w:kern w:val="2"/>
          <w:sz w:val="20"/>
          <w:szCs w:val="24"/>
          <w14:ligatures w14:val="standardContextual"/>
        </w:rPr>
        <w:t xml:space="preserve">Our understanding is </w:t>
      </w:r>
      <w:proofErr w:type="spellStart"/>
      <w:proofErr w:type="gramStart"/>
      <w:r w:rsidRPr="00500575">
        <w:rPr>
          <w:rFonts w:ascii="Calibri" w:eastAsia="Calibri" w:hAnsi="Calibri" w:cs="Calibri"/>
          <w:color w:val="EE0000"/>
          <w:kern w:val="2"/>
          <w:sz w:val="20"/>
          <w:szCs w:val="24"/>
          <w14:ligatures w14:val="standardContextual"/>
        </w:rPr>
        <w:t>its</w:t>
      </w:r>
      <w:proofErr w:type="spellEnd"/>
      <w:proofErr w:type="gramEnd"/>
      <w:r w:rsidRPr="00500575">
        <w:rPr>
          <w:rFonts w:ascii="Calibri" w:eastAsia="Calibri" w:hAnsi="Calibri" w:cs="Calibri"/>
          <w:color w:val="EE0000"/>
          <w:kern w:val="2"/>
          <w:sz w:val="20"/>
          <w:szCs w:val="24"/>
          <w14:ligatures w14:val="standardContextual"/>
        </w:rPr>
        <w:t xml:space="preserve"> the Consultation Document, but they can request detailed comments. It should be noted that CD is materially more detailed than required to demonstrate full transparency to the residents.</w:t>
      </w:r>
    </w:p>
    <w:p w14:paraId="6A036421"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9 para 4.1, second sentence.  I’m sure this wasn’t the intention, but this sentence is both patronising and condescending.  From the discussions I have had with residents they are very clear on how planning applications are determined, with or without a NP.  By identifying </w:t>
      </w:r>
      <w:proofErr w:type="gramStart"/>
      <w:r w:rsidRPr="00500575">
        <w:rPr>
          <w:rFonts w:ascii="Calibri" w:eastAsia="Calibri" w:hAnsi="Calibri" w:cs="Calibri"/>
          <w:color w:val="000000"/>
          <w:kern w:val="2"/>
          <w:sz w:val="20"/>
          <w:szCs w:val="24"/>
          <w14:ligatures w14:val="standardContextual"/>
        </w:rPr>
        <w:t>sites</w:t>
      </w:r>
      <w:proofErr w:type="gramEnd"/>
      <w:r w:rsidRPr="00500575">
        <w:rPr>
          <w:rFonts w:ascii="Calibri" w:eastAsia="Calibri" w:hAnsi="Calibri" w:cs="Calibri"/>
          <w:color w:val="000000"/>
          <w:kern w:val="2"/>
          <w:sz w:val="20"/>
          <w:szCs w:val="24"/>
          <w14:ligatures w14:val="standardContextual"/>
        </w:rPr>
        <w:t xml:space="preserve"> the first barriers for planning applications are effectively made lower but people acknowledge this does not guarantee ‘approval’.  That said it is not an unreasonable deduction to make that if a site is identified in a NP as having the potential of being ‘suitable’, rather than ‘unsuitable’, planning applications have a greater chance of being approved.  This sentence needs deleting or amending. </w:t>
      </w:r>
      <w:r w:rsidRPr="00500575">
        <w:rPr>
          <w:rFonts w:ascii="Calibri" w:eastAsia="Calibri" w:hAnsi="Calibri" w:cs="Calibri"/>
          <w:color w:val="EE0000"/>
          <w:kern w:val="2"/>
          <w:sz w:val="20"/>
          <w:szCs w:val="24"/>
          <w14:ligatures w14:val="standardContextual"/>
        </w:rPr>
        <w:t>Disagree, it fairly reflects the Regulation 14 responses received from around 130 responses.</w:t>
      </w:r>
    </w:p>
    <w:p w14:paraId="1F253FD3"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11 para 5.1a, the reasons stated here are not the reason given in the NP and GB Study for the exclusion of sites in Whelpley Hill. </w:t>
      </w:r>
      <w:r w:rsidRPr="00500575">
        <w:rPr>
          <w:rFonts w:ascii="Calibri" w:eastAsia="Calibri" w:hAnsi="Calibri" w:cs="Calibri"/>
          <w:color w:val="EE0000"/>
          <w:kern w:val="2"/>
          <w:sz w:val="20"/>
          <w:szCs w:val="24"/>
          <w14:ligatures w14:val="standardContextual"/>
        </w:rPr>
        <w:t>These are a summary of Regulation 14 responses. For many reasons</w:t>
      </w:r>
    </w:p>
    <w:p w14:paraId="730E4276"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11 para 5.1b, what does “it is noted that there are concerns about Site 5’s suitability for a future development” mean?  Does the Steering Group agree or disagree, this qualification need to be included in the NP and GB Study, </w:t>
      </w:r>
      <w:proofErr w:type="spellStart"/>
      <w:r w:rsidRPr="00500575">
        <w:rPr>
          <w:rFonts w:ascii="Calibri" w:eastAsia="Calibri" w:hAnsi="Calibri" w:cs="Calibri"/>
          <w:color w:val="000000"/>
          <w:kern w:val="2"/>
          <w:sz w:val="20"/>
          <w:szCs w:val="24"/>
          <w14:ligatures w14:val="standardContextual"/>
        </w:rPr>
        <w:t>ie</w:t>
      </w:r>
      <w:proofErr w:type="spellEnd"/>
      <w:r w:rsidRPr="00500575">
        <w:rPr>
          <w:rFonts w:ascii="Calibri" w:eastAsia="Calibri" w:hAnsi="Calibri" w:cs="Calibri"/>
          <w:color w:val="000000"/>
          <w:kern w:val="2"/>
          <w:sz w:val="20"/>
          <w:szCs w:val="24"/>
          <w14:ligatures w14:val="standardContextual"/>
        </w:rPr>
        <w:t xml:space="preserve"> Site 5 is not removed from the NP. </w:t>
      </w:r>
      <w:r w:rsidRPr="00500575">
        <w:rPr>
          <w:rFonts w:ascii="Calibri" w:eastAsia="Calibri" w:hAnsi="Calibri" w:cs="Calibri"/>
          <w:color w:val="EE0000"/>
          <w:kern w:val="2"/>
          <w:sz w:val="20"/>
          <w:szCs w:val="24"/>
          <w14:ligatures w14:val="standardContextual"/>
        </w:rPr>
        <w:t>It is just an observation. It is not policy and should not be in the NP. Again, this was included to appease some residents.</w:t>
      </w:r>
    </w:p>
    <w:p w14:paraId="0518ADA5"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11, para 5.1c, as above what does this sentence mean, what is the Steering Group’s view, this qualification needs to be included in the NP and GB Study. </w:t>
      </w:r>
      <w:r w:rsidRPr="00500575">
        <w:rPr>
          <w:rFonts w:ascii="Calibri" w:eastAsia="Calibri" w:hAnsi="Calibri" w:cs="Calibri"/>
          <w:color w:val="EE0000"/>
          <w:kern w:val="2"/>
          <w:sz w:val="20"/>
          <w:szCs w:val="24"/>
          <w14:ligatures w14:val="standardContextual"/>
        </w:rPr>
        <w:t>Just an observation from Bucks published documentation, it is not policy and should not be in the NP. Again, this was included to appease some residents.</w:t>
      </w:r>
    </w:p>
    <w:p w14:paraId="1ECA4153"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11, para 5.2, first para, BC has NOT provided guidance that AG PC </w:t>
      </w:r>
      <w:r w:rsidRPr="00500575">
        <w:rPr>
          <w:rFonts w:ascii="Calibri" w:eastAsia="Calibri" w:hAnsi="Calibri" w:cs="Calibri"/>
          <w:b/>
          <w:color w:val="000000"/>
          <w:kern w:val="2"/>
          <w:sz w:val="20"/>
          <w:szCs w:val="24"/>
          <w14:ligatures w14:val="standardContextual"/>
        </w:rPr>
        <w:t>should look to accommodate 22</w:t>
      </w:r>
      <w:r w:rsidRPr="00500575">
        <w:rPr>
          <w:rFonts w:ascii="Calibri" w:eastAsia="Calibri" w:hAnsi="Calibri" w:cs="Calibri"/>
          <w:color w:val="000000"/>
          <w:kern w:val="2"/>
          <w:sz w:val="20"/>
          <w:szCs w:val="24"/>
          <w14:ligatures w14:val="standardContextual"/>
        </w:rPr>
        <w:t xml:space="preserve"> </w:t>
      </w:r>
      <w:r w:rsidRPr="00500575">
        <w:rPr>
          <w:rFonts w:ascii="Calibri" w:eastAsia="Calibri" w:hAnsi="Calibri" w:cs="Calibri"/>
          <w:b/>
          <w:color w:val="000000"/>
          <w:kern w:val="2"/>
          <w:sz w:val="20"/>
          <w:szCs w:val="24"/>
          <w14:ligatures w14:val="standardContextual"/>
        </w:rPr>
        <w:t>dwellings</w:t>
      </w:r>
      <w:r w:rsidRPr="00500575">
        <w:rPr>
          <w:rFonts w:ascii="Calibri" w:eastAsia="Calibri" w:hAnsi="Calibri" w:cs="Calibri"/>
          <w:color w:val="000000"/>
          <w:kern w:val="2"/>
          <w:sz w:val="20"/>
          <w:szCs w:val="24"/>
          <w14:ligatures w14:val="standardContextual"/>
        </w:rPr>
        <w:t xml:space="preserve"> over a </w:t>
      </w:r>
      <w:proofErr w:type="gramStart"/>
      <w:r w:rsidRPr="00500575">
        <w:rPr>
          <w:rFonts w:ascii="Calibri" w:eastAsia="Calibri" w:hAnsi="Calibri" w:cs="Calibri"/>
          <w:color w:val="000000"/>
          <w:kern w:val="2"/>
          <w:sz w:val="20"/>
          <w:szCs w:val="24"/>
          <w14:ligatures w14:val="standardContextual"/>
        </w:rPr>
        <w:t>ten year</w:t>
      </w:r>
      <w:proofErr w:type="gramEnd"/>
      <w:r w:rsidRPr="00500575">
        <w:rPr>
          <w:rFonts w:ascii="Calibri" w:eastAsia="Calibri" w:hAnsi="Calibri" w:cs="Calibri"/>
          <w:color w:val="000000"/>
          <w:kern w:val="2"/>
          <w:sz w:val="20"/>
          <w:szCs w:val="24"/>
          <w14:ligatures w14:val="standardContextual"/>
        </w:rPr>
        <w:t xml:space="preserve"> period. This is an indicative figure which has been arrived at using a calculation deemed not to be unreasonable.  It should be made clear this is not a target set by Bucks.   It states [BC] “The local plan is not advanced enough for these figures to be known </w:t>
      </w:r>
      <w:proofErr w:type="gramStart"/>
      <w:r w:rsidRPr="00500575">
        <w:rPr>
          <w:rFonts w:ascii="Calibri" w:eastAsia="Calibri" w:hAnsi="Calibri" w:cs="Calibri"/>
          <w:color w:val="000000"/>
          <w:kern w:val="2"/>
          <w:sz w:val="20"/>
          <w:szCs w:val="24"/>
          <w14:ligatures w14:val="standardContextual"/>
        </w:rPr>
        <w:t>yet, but</w:t>
      </w:r>
      <w:proofErr w:type="gramEnd"/>
      <w:r w:rsidRPr="00500575">
        <w:rPr>
          <w:rFonts w:ascii="Calibri" w:eastAsia="Calibri" w:hAnsi="Calibri" w:cs="Calibri"/>
          <w:color w:val="000000"/>
          <w:kern w:val="2"/>
          <w:sz w:val="20"/>
          <w:szCs w:val="24"/>
          <w14:ligatures w14:val="standardContextual"/>
        </w:rPr>
        <w:t xml:space="preserve"> should be </w:t>
      </w:r>
      <w:proofErr w:type="gramStart"/>
      <w:r w:rsidRPr="00500575">
        <w:rPr>
          <w:rFonts w:ascii="Calibri" w:eastAsia="Calibri" w:hAnsi="Calibri" w:cs="Calibri"/>
          <w:color w:val="000000"/>
          <w:kern w:val="2"/>
          <w:sz w:val="20"/>
          <w:szCs w:val="24"/>
          <w14:ligatures w14:val="standardContextual"/>
        </w:rPr>
        <w:t>in a position</w:t>
      </w:r>
      <w:proofErr w:type="gramEnd"/>
      <w:r w:rsidRPr="00500575">
        <w:rPr>
          <w:rFonts w:ascii="Calibri" w:eastAsia="Calibri" w:hAnsi="Calibri" w:cs="Calibri"/>
          <w:color w:val="000000"/>
          <w:kern w:val="2"/>
          <w:sz w:val="20"/>
          <w:szCs w:val="24"/>
          <w14:ligatures w14:val="standardContextual"/>
        </w:rPr>
        <w:t xml:space="preserve"> to provide this around Summer 2026 when the LP4B goes to Reg19 Consultation. Paragraph 70 of the NPPF states that in such cases an indicative figure can be provided.”  It concluded by saying “However, it is up to you how you want to arrive at an indicative figure.” </w:t>
      </w:r>
    </w:p>
    <w:p w14:paraId="5038D156"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The 22 over 10 years (44 over 20 years) was provided as indicative housing figures by Bucks and that seemed reasonable and aligns us with Bucks current thoughts on the matter.  To deviate would require significant justification.</w:t>
      </w:r>
    </w:p>
    <w:p w14:paraId="2EC3B552"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13 second para, last sentence, can I be provided with the guidance from Bucks stating that “saw no reason why the NP should be delayed”. </w:t>
      </w:r>
    </w:p>
    <w:p w14:paraId="250FE5E7"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lastRenderedPageBreak/>
        <w:t>See screenshot of Bucks email below</w:t>
      </w:r>
    </w:p>
    <w:p w14:paraId="6DF3A3F6"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14 third para, who has ‘proprietary rights’ on the NP and the GB Study, is it the PC or ONH? </w:t>
      </w:r>
    </w:p>
    <w:p w14:paraId="36E5F46D"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This is a PC study prepared by ONH</w:t>
      </w:r>
    </w:p>
    <w:p w14:paraId="2EDECE58" w14:textId="77777777" w:rsidR="00500575" w:rsidRPr="00500575" w:rsidRDefault="00500575" w:rsidP="00500575">
      <w:pPr>
        <w:spacing w:after="176" w:line="256" w:lineRule="auto"/>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 </w:t>
      </w:r>
    </w:p>
    <w:p w14:paraId="349ECA28" w14:textId="77777777" w:rsidR="00500575" w:rsidRPr="00500575" w:rsidRDefault="00500575" w:rsidP="00500575">
      <w:pPr>
        <w:keepNext/>
        <w:keepLines/>
        <w:spacing w:after="178" w:line="256" w:lineRule="auto"/>
        <w:ind w:left="-5" w:hanging="10"/>
        <w:outlineLvl w:val="1"/>
        <w:rPr>
          <w:rFonts w:ascii="Calibri" w:eastAsia="Calibri" w:hAnsi="Calibri" w:cs="Calibri"/>
          <w:b/>
          <w:color w:val="000000"/>
          <w:kern w:val="2"/>
          <w:sz w:val="20"/>
          <w:szCs w:val="24"/>
          <w14:ligatures w14:val="standardContextual"/>
        </w:rPr>
      </w:pPr>
      <w:r w:rsidRPr="00500575">
        <w:rPr>
          <w:rFonts w:ascii="Calibri" w:eastAsia="Calibri" w:hAnsi="Calibri" w:cs="Calibri"/>
          <w:b/>
          <w:color w:val="000000"/>
          <w:kern w:val="2"/>
          <w:sz w:val="20"/>
          <w:szCs w:val="24"/>
          <w14:ligatures w14:val="standardContextual"/>
        </w:rPr>
        <w:t xml:space="preserve">AGP NP 2026-2036 Design Annex, May 2026 </w:t>
      </w:r>
    </w:p>
    <w:p w14:paraId="4ABE1F3F"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Have owners of the houses photographed and published in the document given permission for their properties to be included? </w:t>
      </w:r>
    </w:p>
    <w:p w14:paraId="7AC18EFF"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 xml:space="preserve">Not needed, </w:t>
      </w:r>
      <w:proofErr w:type="gramStart"/>
      <w:r w:rsidRPr="00500575">
        <w:rPr>
          <w:rFonts w:ascii="Calibri" w:eastAsia="Calibri" w:hAnsi="Calibri" w:cs="Calibri"/>
          <w:color w:val="EE0000"/>
          <w:kern w:val="2"/>
          <w:sz w:val="20"/>
          <w:szCs w:val="24"/>
          <w14:ligatures w14:val="standardContextual"/>
        </w:rPr>
        <w:t>as long as</w:t>
      </w:r>
      <w:proofErr w:type="gramEnd"/>
      <w:r w:rsidRPr="00500575">
        <w:rPr>
          <w:rFonts w:ascii="Calibri" w:eastAsia="Calibri" w:hAnsi="Calibri" w:cs="Calibri"/>
          <w:color w:val="EE0000"/>
          <w:kern w:val="2"/>
          <w:sz w:val="20"/>
          <w:szCs w:val="24"/>
          <w14:ligatures w14:val="standardContextual"/>
        </w:rPr>
        <w:t xml:space="preserve"> the photos was taken from public land and, showing a general street scene or the exterior of a building is completely legal under UK freedom of photography and privacy laws. Further, the houses are not specifically referenced</w:t>
      </w:r>
    </w:p>
    <w:p w14:paraId="6E97C80B"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Is the Design Annex for use in Ashley Green not Whelpley Hill, as this is how it reads. It needs to be clarified this is for the entire parish. </w:t>
      </w:r>
    </w:p>
    <w:p w14:paraId="4FE22E21"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 xml:space="preserve">The opening statement sates: </w:t>
      </w:r>
      <w:r w:rsidRPr="00500575">
        <w:rPr>
          <w:rFonts w:ascii="Calibri" w:eastAsia="Calibri" w:hAnsi="Calibri" w:cs="Calibri"/>
          <w:b/>
          <w:bCs/>
          <w:i/>
          <w:iCs/>
          <w:color w:val="EE0000"/>
          <w:kern w:val="2"/>
          <w:sz w:val="20"/>
          <w:szCs w:val="24"/>
          <w14:ligatures w14:val="standardContextual"/>
        </w:rPr>
        <w:t>This Design Annex forms part of the Ashley Green Parish Neighbourhood Plan. It is for guidance purposes when considering new development in the Parish.</w:t>
      </w:r>
    </w:p>
    <w:p w14:paraId="331083A0"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Second page Roger has ‘signed’ as Chair, Ashley Green Parish Council.  </w:t>
      </w:r>
      <w:proofErr w:type="gramStart"/>
      <w:r w:rsidRPr="00500575">
        <w:rPr>
          <w:rFonts w:ascii="Calibri" w:eastAsia="Calibri" w:hAnsi="Calibri" w:cs="Calibri"/>
          <w:color w:val="000000"/>
          <w:kern w:val="2"/>
          <w:sz w:val="20"/>
          <w:szCs w:val="24"/>
          <w14:ligatures w14:val="standardContextual"/>
        </w:rPr>
        <w:t>This needs</w:t>
      </w:r>
      <w:proofErr w:type="gramEnd"/>
      <w:r w:rsidRPr="00500575">
        <w:rPr>
          <w:rFonts w:ascii="Calibri" w:eastAsia="Calibri" w:hAnsi="Calibri" w:cs="Calibri"/>
          <w:color w:val="000000"/>
          <w:kern w:val="2"/>
          <w:sz w:val="20"/>
          <w:szCs w:val="24"/>
          <w14:ligatures w14:val="standardContextual"/>
        </w:rPr>
        <w:t xml:space="preserve"> changing to be Chair NP Steering Group? </w:t>
      </w:r>
    </w:p>
    <w:p w14:paraId="1B967096"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proofErr w:type="spellStart"/>
      <w:r w:rsidRPr="00500575">
        <w:rPr>
          <w:rFonts w:ascii="Calibri" w:eastAsia="Calibri" w:hAnsi="Calibri" w:cs="Calibri"/>
          <w:color w:val="EE0000"/>
          <w:kern w:val="2"/>
          <w:sz w:val="20"/>
          <w:szCs w:val="24"/>
          <w14:ligatures w14:val="standardContextual"/>
        </w:rPr>
        <w:t>Its</w:t>
      </w:r>
      <w:proofErr w:type="spellEnd"/>
      <w:r w:rsidRPr="00500575">
        <w:rPr>
          <w:rFonts w:ascii="Calibri" w:eastAsia="Calibri" w:hAnsi="Calibri" w:cs="Calibri"/>
          <w:color w:val="EE0000"/>
          <w:kern w:val="2"/>
          <w:sz w:val="20"/>
          <w:szCs w:val="24"/>
          <w14:ligatures w14:val="standardContextual"/>
        </w:rPr>
        <w:t xml:space="preserve"> not signed. It’s a statement in my capacity at the time</w:t>
      </w:r>
    </w:p>
    <w:p w14:paraId="7569EDB3"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5, second para, is the intention for the Design Annex to be used for both domestic and commercial, given the NP states it’s just for residential development? </w:t>
      </w:r>
    </w:p>
    <w:p w14:paraId="7BD0E99B"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proofErr w:type="gramStart"/>
      <w:r w:rsidRPr="00500575">
        <w:rPr>
          <w:rFonts w:ascii="Calibri" w:eastAsia="Calibri" w:hAnsi="Calibri" w:cs="Calibri"/>
          <w:color w:val="EE0000"/>
          <w:kern w:val="2"/>
          <w:sz w:val="20"/>
          <w:szCs w:val="24"/>
          <w14:ligatures w14:val="standardContextual"/>
        </w:rPr>
        <w:t>Its</w:t>
      </w:r>
      <w:proofErr w:type="gramEnd"/>
      <w:r w:rsidRPr="00500575">
        <w:rPr>
          <w:rFonts w:ascii="Calibri" w:eastAsia="Calibri" w:hAnsi="Calibri" w:cs="Calibri"/>
          <w:color w:val="EE0000"/>
          <w:kern w:val="2"/>
          <w:sz w:val="20"/>
          <w:szCs w:val="24"/>
          <w14:ligatures w14:val="standardContextual"/>
        </w:rPr>
        <w:t xml:space="preserve"> commercial in terms of company developers as opposed to individual house builders. Although if it is ambiguous and we thought we might capture commercial premises I would want to leave it in</w:t>
      </w:r>
    </w:p>
    <w:p w14:paraId="189EC9A2" w14:textId="77777777" w:rsidR="00500575" w:rsidRPr="00500575" w:rsidRDefault="00500575" w:rsidP="00500575">
      <w:pPr>
        <w:spacing w:after="9"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32 “Note”, this implies that the majority of the 22 houses over the </w:t>
      </w:r>
      <w:proofErr w:type="gramStart"/>
      <w:r w:rsidRPr="00500575">
        <w:rPr>
          <w:rFonts w:ascii="Calibri" w:eastAsia="Calibri" w:hAnsi="Calibri" w:cs="Calibri"/>
          <w:color w:val="000000"/>
          <w:kern w:val="2"/>
          <w:sz w:val="20"/>
          <w:szCs w:val="24"/>
          <w14:ligatures w14:val="standardContextual"/>
        </w:rPr>
        <w:t>ten year</w:t>
      </w:r>
      <w:proofErr w:type="gramEnd"/>
      <w:r w:rsidRPr="00500575">
        <w:rPr>
          <w:rFonts w:ascii="Calibri" w:eastAsia="Calibri" w:hAnsi="Calibri" w:cs="Calibri"/>
          <w:color w:val="000000"/>
          <w:kern w:val="2"/>
          <w:sz w:val="20"/>
          <w:szCs w:val="24"/>
          <w14:ligatures w14:val="standardContextual"/>
        </w:rPr>
        <w:t xml:space="preserve"> period </w:t>
      </w:r>
      <w:proofErr w:type="gramStart"/>
      <w:r w:rsidRPr="00500575">
        <w:rPr>
          <w:rFonts w:ascii="Calibri" w:eastAsia="Calibri" w:hAnsi="Calibri" w:cs="Calibri"/>
          <w:color w:val="000000"/>
          <w:kern w:val="2"/>
          <w:sz w:val="20"/>
          <w:szCs w:val="24"/>
          <w14:ligatures w14:val="standardContextual"/>
        </w:rPr>
        <w:t>are</w:t>
      </w:r>
      <w:proofErr w:type="gramEnd"/>
      <w:r w:rsidRPr="00500575">
        <w:rPr>
          <w:rFonts w:ascii="Calibri" w:eastAsia="Calibri" w:hAnsi="Calibri" w:cs="Calibri"/>
          <w:color w:val="000000"/>
          <w:kern w:val="2"/>
          <w:sz w:val="20"/>
          <w:szCs w:val="24"/>
          <w14:ligatures w14:val="standardContextual"/>
        </w:rPr>
        <w:t xml:space="preserve"> likely be built in </w:t>
      </w:r>
    </w:p>
    <w:p w14:paraId="1EAA1C1A"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Ashley Green Village, “With respect to plot size, Ashley Green Village is the main example cited in Figure 8, opposite. This is because the NP had identified this settlement as being the location with the greatest potential to accommodate development during the plan period.”  This is an assumption and as such should not be included.  If Whelpley Hill is reinstated in the NP this needs to be updated.  </w:t>
      </w:r>
    </w:p>
    <w:p w14:paraId="7F04D986"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 xml:space="preserve">Ashley Green is determined as the only sustainable location, although we have widened the scope to </w:t>
      </w:r>
      <w:proofErr w:type="gramStart"/>
      <w:r w:rsidRPr="00500575">
        <w:rPr>
          <w:rFonts w:ascii="Calibri" w:eastAsia="Calibri" w:hAnsi="Calibri" w:cs="Calibri"/>
          <w:color w:val="EE0000"/>
          <w:kern w:val="2"/>
          <w:sz w:val="20"/>
          <w:szCs w:val="24"/>
          <w14:ligatures w14:val="standardContextual"/>
        </w:rPr>
        <w:t>the  whole</w:t>
      </w:r>
      <w:proofErr w:type="gramEnd"/>
      <w:r w:rsidRPr="00500575">
        <w:rPr>
          <w:rFonts w:ascii="Calibri" w:eastAsia="Calibri" w:hAnsi="Calibri" w:cs="Calibri"/>
          <w:color w:val="EE0000"/>
          <w:kern w:val="2"/>
          <w:sz w:val="20"/>
          <w:szCs w:val="24"/>
          <w14:ligatures w14:val="standardContextual"/>
        </w:rPr>
        <w:t xml:space="preserve"> parish so any infilling etc in WH or elsewhere within the parish will count towards the total. </w:t>
      </w:r>
    </w:p>
    <w:p w14:paraId="7819DFD7"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35 para 5, disagree with this assumption.  I do not agree with “taking this approach means the actual density figure of ‘X’ number of homes per acre or hectares is less important than the quality and </w:t>
      </w:r>
      <w:proofErr w:type="spellStart"/>
      <w:r w:rsidRPr="00500575">
        <w:rPr>
          <w:rFonts w:ascii="Calibri" w:eastAsia="Calibri" w:hAnsi="Calibri" w:cs="Calibri"/>
          <w:color w:val="000000"/>
          <w:kern w:val="2"/>
          <w:sz w:val="20"/>
          <w:szCs w:val="24"/>
          <w14:ligatures w14:val="standardContextual"/>
        </w:rPr>
        <w:t>charcter</w:t>
      </w:r>
      <w:proofErr w:type="spellEnd"/>
      <w:r w:rsidRPr="00500575">
        <w:rPr>
          <w:rFonts w:ascii="Calibri" w:eastAsia="Calibri" w:hAnsi="Calibri" w:cs="Calibri"/>
          <w:color w:val="000000"/>
          <w:kern w:val="2"/>
          <w:sz w:val="20"/>
          <w:szCs w:val="24"/>
          <w14:ligatures w14:val="standardContextual"/>
        </w:rPr>
        <w:t xml:space="preserve"> of the development.”  Given </w:t>
      </w:r>
      <w:proofErr w:type="gramStart"/>
      <w:r w:rsidRPr="00500575">
        <w:rPr>
          <w:rFonts w:ascii="Calibri" w:eastAsia="Calibri" w:hAnsi="Calibri" w:cs="Calibri"/>
          <w:color w:val="000000"/>
          <w:kern w:val="2"/>
          <w:sz w:val="20"/>
          <w:szCs w:val="24"/>
          <w14:ligatures w14:val="standardContextual"/>
        </w:rPr>
        <w:t>the majority of</w:t>
      </w:r>
      <w:proofErr w:type="gramEnd"/>
      <w:r w:rsidRPr="00500575">
        <w:rPr>
          <w:rFonts w:ascii="Calibri" w:eastAsia="Calibri" w:hAnsi="Calibri" w:cs="Calibri"/>
          <w:color w:val="000000"/>
          <w:kern w:val="2"/>
          <w:sz w:val="20"/>
          <w:szCs w:val="24"/>
          <w14:ligatures w14:val="standardContextual"/>
        </w:rPr>
        <w:t xml:space="preserve"> sites identified are within the centre of the village and do not have access to arterial routes, it is important to restrict the number of houses per hectare, so that the character and nature of the centre of the village is not irrevocably damaged.</w:t>
      </w:r>
    </w:p>
    <w:p w14:paraId="13AD262E"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Our view is density is less important than the quality and character of development</w:t>
      </w:r>
    </w:p>
    <w:p w14:paraId="749E7BEA" w14:textId="77777777" w:rsidR="00500575" w:rsidRPr="00500575" w:rsidRDefault="00500575" w:rsidP="00500575">
      <w:pPr>
        <w:spacing w:after="168" w:line="268" w:lineRule="auto"/>
        <w:ind w:left="-5" w:hanging="10"/>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Page 36, “Note”, same comment as that for Page 32 above. </w:t>
      </w:r>
    </w:p>
    <w:p w14:paraId="7F04AB9A" w14:textId="77777777" w:rsidR="00500575" w:rsidRPr="00500575" w:rsidRDefault="00500575" w:rsidP="00500575">
      <w:pPr>
        <w:spacing w:after="168" w:line="268" w:lineRule="auto"/>
        <w:ind w:left="-5" w:hanging="10"/>
        <w:rPr>
          <w:rFonts w:ascii="Calibri" w:eastAsia="Calibri" w:hAnsi="Calibri" w:cs="Calibri"/>
          <w:color w:val="EE0000"/>
          <w:kern w:val="2"/>
          <w:sz w:val="20"/>
          <w:szCs w:val="24"/>
          <w14:ligatures w14:val="standardContextual"/>
        </w:rPr>
      </w:pPr>
      <w:r w:rsidRPr="00500575">
        <w:rPr>
          <w:rFonts w:ascii="Calibri" w:eastAsia="Calibri" w:hAnsi="Calibri" w:cs="Calibri"/>
          <w:color w:val="EE0000"/>
          <w:kern w:val="2"/>
          <w:sz w:val="20"/>
          <w:szCs w:val="24"/>
          <w14:ligatures w14:val="standardContextual"/>
        </w:rPr>
        <w:t>Same response.</w:t>
      </w:r>
    </w:p>
    <w:p w14:paraId="71382CDA" w14:textId="77777777" w:rsidR="00500575" w:rsidRPr="00500575" w:rsidRDefault="00500575" w:rsidP="00500575">
      <w:pPr>
        <w:spacing w:after="181" w:line="256" w:lineRule="auto"/>
        <w:rPr>
          <w:rFonts w:ascii="Calibri" w:eastAsia="Calibri" w:hAnsi="Calibri" w:cs="Calibri"/>
          <w:color w:val="000000"/>
          <w:kern w:val="2"/>
          <w:sz w:val="20"/>
          <w:szCs w:val="24"/>
          <w14:ligatures w14:val="standardContextual"/>
        </w:rPr>
      </w:pPr>
      <w:r w:rsidRPr="00500575">
        <w:rPr>
          <w:rFonts w:ascii="Calibri" w:eastAsia="Calibri" w:hAnsi="Calibri" w:cs="Calibri"/>
          <w:noProof/>
          <w:color w:val="000000"/>
          <w:kern w:val="2"/>
          <w:sz w:val="20"/>
          <w:szCs w:val="24"/>
          <w14:ligatures w14:val="standardContextual"/>
        </w:rPr>
        <w:lastRenderedPageBreak/>
        <w:drawing>
          <wp:inline distT="0" distB="0" distL="0" distR="0" wp14:anchorId="262C2A5C" wp14:editId="0761C831">
            <wp:extent cx="5734050" cy="6505575"/>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4050" cy="6505575"/>
                    </a:xfrm>
                    <a:prstGeom prst="rect">
                      <a:avLst/>
                    </a:prstGeom>
                    <a:noFill/>
                    <a:ln>
                      <a:noFill/>
                    </a:ln>
                  </pic:spPr>
                </pic:pic>
              </a:graphicData>
            </a:graphic>
          </wp:inline>
        </w:drawing>
      </w:r>
      <w:r w:rsidRPr="00500575">
        <w:rPr>
          <w:rFonts w:ascii="Calibri" w:eastAsia="Calibri" w:hAnsi="Calibri" w:cs="Calibri"/>
          <w:color w:val="000000"/>
          <w:kern w:val="2"/>
          <w:sz w:val="20"/>
          <w:szCs w:val="24"/>
          <w14:ligatures w14:val="standardContextual"/>
        </w:rPr>
        <w:t xml:space="preserve"> </w:t>
      </w:r>
    </w:p>
    <w:p w14:paraId="131D956B" w14:textId="77777777" w:rsidR="00500575" w:rsidRPr="00500575" w:rsidRDefault="00500575" w:rsidP="00500575">
      <w:pPr>
        <w:spacing w:after="176" w:line="256" w:lineRule="auto"/>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0"/>
          <w:szCs w:val="24"/>
          <w14:ligatures w14:val="standardContextual"/>
        </w:rPr>
        <w:t xml:space="preserve"> </w:t>
      </w:r>
    </w:p>
    <w:p w14:paraId="70F9E4D6" w14:textId="77777777" w:rsidR="00500575" w:rsidRPr="00500575" w:rsidRDefault="00500575" w:rsidP="00500575">
      <w:pPr>
        <w:spacing w:after="214" w:line="256" w:lineRule="auto"/>
        <w:rPr>
          <w:rFonts w:ascii="Calibri" w:eastAsia="Calibri" w:hAnsi="Calibri" w:cs="Calibri"/>
          <w:color w:val="000000"/>
          <w:kern w:val="2"/>
          <w:sz w:val="20"/>
          <w:szCs w:val="24"/>
          <w14:ligatures w14:val="standardContextual"/>
        </w:rPr>
      </w:pPr>
      <w:r w:rsidRPr="00500575">
        <w:rPr>
          <w:rFonts w:ascii="Calibri" w:eastAsia="Calibri" w:hAnsi="Calibri" w:cs="Calibri"/>
          <w:b/>
          <w:color w:val="000000"/>
          <w:kern w:val="2"/>
          <w:sz w:val="20"/>
          <w:szCs w:val="24"/>
          <w14:ligatures w14:val="standardContextual"/>
        </w:rPr>
        <w:t xml:space="preserve"> </w:t>
      </w:r>
    </w:p>
    <w:p w14:paraId="3DCCE412" w14:textId="77777777" w:rsidR="00500575" w:rsidRPr="00500575" w:rsidRDefault="00500575" w:rsidP="00500575">
      <w:pPr>
        <w:spacing w:line="256" w:lineRule="auto"/>
        <w:rPr>
          <w:rFonts w:ascii="Calibri" w:eastAsia="Calibri" w:hAnsi="Calibri" w:cs="Calibri"/>
          <w:color w:val="000000"/>
          <w:kern w:val="2"/>
          <w:sz w:val="20"/>
          <w:szCs w:val="24"/>
          <w14:ligatures w14:val="standardContextual"/>
        </w:rPr>
      </w:pPr>
      <w:r w:rsidRPr="00500575">
        <w:rPr>
          <w:rFonts w:ascii="Calibri" w:eastAsia="Calibri" w:hAnsi="Calibri" w:cs="Calibri"/>
          <w:color w:val="000000"/>
          <w:kern w:val="2"/>
          <w:sz w:val="24"/>
          <w:szCs w:val="24"/>
          <w14:ligatures w14:val="standardContextual"/>
        </w:rPr>
        <w:t xml:space="preserve"> </w:t>
      </w:r>
    </w:p>
    <w:p w14:paraId="43B0D067" w14:textId="785669F7" w:rsidR="00500575" w:rsidRPr="00500575" w:rsidRDefault="00500575" w:rsidP="00500575">
      <w:r w:rsidRPr="00500575">
        <w:t xml:space="preserve"> </w:t>
      </w:r>
    </w:p>
    <w:p w14:paraId="7137C819" w14:textId="77777777" w:rsidR="00500575" w:rsidRPr="00500575" w:rsidRDefault="00500575" w:rsidP="00500575">
      <w:r w:rsidRPr="00500575">
        <w:rPr>
          <w:b/>
        </w:rPr>
        <w:t xml:space="preserve"> </w:t>
      </w:r>
    </w:p>
    <w:p w14:paraId="04044845" w14:textId="77777777" w:rsidR="00500575" w:rsidRPr="00500575" w:rsidRDefault="00500575" w:rsidP="00500575">
      <w:r w:rsidRPr="00500575">
        <w:t xml:space="preserve"> </w:t>
      </w:r>
    </w:p>
    <w:p w14:paraId="696E6EFC" w14:textId="77777777" w:rsidR="00500575" w:rsidRDefault="00500575"/>
    <w:sectPr w:rsidR="0050057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417E9"/>
    <w:multiLevelType w:val="hybridMultilevel"/>
    <w:tmpl w:val="EF0AE092"/>
    <w:lvl w:ilvl="0" w:tplc="EBD62352">
      <w:start w:val="1"/>
      <w:numFmt w:val="bullet"/>
      <w:lvlText w:val="●"/>
      <w:lvlJc w:val="left"/>
      <w:pPr>
        <w:ind w:left="720" w:hanging="360"/>
      </w:pPr>
    </w:lvl>
    <w:lvl w:ilvl="1" w:tplc="8CE00E88">
      <w:start w:val="1"/>
      <w:numFmt w:val="bullet"/>
      <w:lvlText w:val="○"/>
      <w:lvlJc w:val="left"/>
      <w:pPr>
        <w:ind w:left="1440" w:hanging="360"/>
      </w:pPr>
    </w:lvl>
    <w:lvl w:ilvl="2" w:tplc="CC325542">
      <w:start w:val="1"/>
      <w:numFmt w:val="bullet"/>
      <w:lvlText w:val="■"/>
      <w:lvlJc w:val="left"/>
      <w:pPr>
        <w:ind w:left="2160" w:hanging="360"/>
      </w:pPr>
    </w:lvl>
    <w:lvl w:ilvl="3" w:tplc="542EE12E">
      <w:start w:val="1"/>
      <w:numFmt w:val="bullet"/>
      <w:lvlText w:val="●"/>
      <w:lvlJc w:val="left"/>
      <w:pPr>
        <w:ind w:left="2880" w:hanging="360"/>
      </w:pPr>
    </w:lvl>
    <w:lvl w:ilvl="4" w:tplc="2F8458C2">
      <w:start w:val="1"/>
      <w:numFmt w:val="bullet"/>
      <w:lvlText w:val="○"/>
      <w:lvlJc w:val="left"/>
      <w:pPr>
        <w:ind w:left="3600" w:hanging="360"/>
      </w:pPr>
    </w:lvl>
    <w:lvl w:ilvl="5" w:tplc="7852851E">
      <w:start w:val="1"/>
      <w:numFmt w:val="bullet"/>
      <w:lvlText w:val="■"/>
      <w:lvlJc w:val="left"/>
      <w:pPr>
        <w:ind w:left="4320" w:hanging="360"/>
      </w:pPr>
    </w:lvl>
    <w:lvl w:ilvl="6" w:tplc="56DEEADA">
      <w:start w:val="1"/>
      <w:numFmt w:val="bullet"/>
      <w:lvlText w:val="●"/>
      <w:lvlJc w:val="left"/>
      <w:pPr>
        <w:ind w:left="5040" w:hanging="360"/>
      </w:pPr>
    </w:lvl>
    <w:lvl w:ilvl="7" w:tplc="4992FC58">
      <w:start w:val="1"/>
      <w:numFmt w:val="bullet"/>
      <w:lvlText w:val="●"/>
      <w:lvlJc w:val="left"/>
      <w:pPr>
        <w:ind w:left="5760" w:hanging="360"/>
      </w:pPr>
    </w:lvl>
    <w:lvl w:ilvl="8" w:tplc="7D9C51AA">
      <w:start w:val="1"/>
      <w:numFmt w:val="bullet"/>
      <w:lvlText w:val="●"/>
      <w:lvlJc w:val="left"/>
      <w:pPr>
        <w:ind w:left="6480" w:hanging="360"/>
      </w:pPr>
    </w:lvl>
  </w:abstractNum>
  <w:num w:numId="1" w16cid:durableId="2720606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5A3"/>
    <w:rsid w:val="004D1251"/>
    <w:rsid w:val="00500575"/>
    <w:rsid w:val="00D37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449DF"/>
  <w15:docId w15:val="{F5348E87-6BB4-4D7F-BEAD-9E751791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3434</Words>
  <Characters>19580</Characters>
  <Application>Microsoft Office Word</Application>
  <DocSecurity>0</DocSecurity>
  <Lines>163</Lines>
  <Paragraphs>45</Paragraphs>
  <ScaleCrop>false</ScaleCrop>
  <Company/>
  <LinksUpToDate>false</LinksUpToDate>
  <CharactersWithSpaces>22969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Jasper Buckle [Pupil]</cp:lastModifiedBy>
  <cp:revision>2</cp:revision>
  <dcterms:created xsi:type="dcterms:W3CDTF">2026-05-31T14:11:00Z</dcterms:created>
  <dcterms:modified xsi:type="dcterms:W3CDTF">2026-05-31T14:11:00Z</dcterms:modified>
</cp:coreProperties>
</file>